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2CDEF" w14:textId="77777777" w:rsidR="00097B6B" w:rsidRDefault="00F942F3" w:rsidP="00D6750F">
      <w:pPr>
        <w:pStyle w:val="AppendixTop"/>
      </w:pPr>
      <w:bookmarkStart w:id="0" w:name="TOCEnd"/>
      <w:bookmarkEnd w:id="0"/>
      <w:r>
        <w:t>Appendix 1</w:t>
      </w:r>
    </w:p>
    <w:p w14:paraId="19B3144E" w14:textId="2E685819" w:rsidR="00097B6B" w:rsidRDefault="00097B6B" w:rsidP="00D6750F">
      <w:pPr>
        <w:pStyle w:val="AppendixRef"/>
      </w:pPr>
      <w:r w:rsidRPr="00BB5F68">
        <w:t>(</w:t>
      </w:r>
      <w:r w:rsidR="00BB5F68" w:rsidRPr="00BB5F68">
        <w:t>Ref: Para.A19</w:t>
      </w:r>
      <w:r w:rsidRPr="00BB5F68">
        <w:t>)</w:t>
      </w:r>
    </w:p>
    <w:p w14:paraId="061EBCF2" w14:textId="77777777" w:rsidR="0075176B" w:rsidRPr="00D26654" w:rsidRDefault="0075176B" w:rsidP="0075176B">
      <w:pPr>
        <w:pStyle w:val="Heading5"/>
      </w:pPr>
      <w:r w:rsidRPr="0075176B">
        <w:t>Illustrations</w:t>
      </w:r>
      <w:r w:rsidRPr="00D26654">
        <w:t xml:space="preserve"> </w:t>
      </w:r>
      <w:r w:rsidRPr="0075176B">
        <w:t>of</w:t>
      </w:r>
      <w:r w:rsidRPr="00D26654">
        <w:t xml:space="preserve"> </w:t>
      </w:r>
      <w:r w:rsidRPr="0075176B">
        <w:t>Independent</w:t>
      </w:r>
      <w:r w:rsidRPr="00D26654">
        <w:t xml:space="preserve"> </w:t>
      </w:r>
      <w:r w:rsidRPr="0075176B">
        <w:t>Auditor’s</w:t>
      </w:r>
      <w:r w:rsidRPr="00D26654">
        <w:t xml:space="preserve"> </w:t>
      </w:r>
      <w:r w:rsidRPr="0075176B">
        <w:t>Reports</w:t>
      </w:r>
      <w:r w:rsidRPr="00D26654">
        <w:t xml:space="preserve"> </w:t>
      </w:r>
      <w:r w:rsidRPr="0075176B">
        <w:t>on</w:t>
      </w:r>
      <w:r w:rsidRPr="00D26654">
        <w:t xml:space="preserve"> </w:t>
      </w:r>
      <w:r w:rsidRPr="0075176B">
        <w:t>Financial</w:t>
      </w:r>
      <w:r w:rsidRPr="00D26654">
        <w:t xml:space="preserve"> </w:t>
      </w:r>
      <w:r w:rsidRPr="0075176B">
        <w:t>Reports</w:t>
      </w:r>
    </w:p>
    <w:p w14:paraId="644343C3" w14:textId="5D00B901" w:rsidR="0075176B" w:rsidRPr="00D26654" w:rsidRDefault="0075176B" w:rsidP="0075176B">
      <w:pPr>
        <w:pStyle w:val="ListBullet"/>
      </w:pPr>
      <w:r w:rsidRPr="00D26654">
        <w:t>Illustration 1: [Deleted by the AUASB.</w:t>
      </w:r>
      <w:r w:rsidR="008E2111">
        <w:t>]</w:t>
      </w:r>
      <w:r>
        <w:t xml:space="preserve">  </w:t>
      </w:r>
      <w:r w:rsidRPr="00D26654">
        <w:t>Refer [</w:t>
      </w:r>
      <w:proofErr w:type="spellStart"/>
      <w:r w:rsidRPr="00D26654">
        <w:t>Aus</w:t>
      </w:r>
      <w:proofErr w:type="spellEnd"/>
      <w:r w:rsidRPr="00D26654">
        <w:t>] Illustration 1A.</w:t>
      </w:r>
    </w:p>
    <w:p w14:paraId="038B845B" w14:textId="617CE7A6" w:rsidR="0075176B" w:rsidRPr="00D26654" w:rsidRDefault="0075176B" w:rsidP="0075176B">
      <w:pPr>
        <w:pStyle w:val="ListBullet"/>
      </w:pPr>
      <w:r w:rsidRPr="00D26654">
        <w:t>[</w:t>
      </w:r>
      <w:proofErr w:type="spellStart"/>
      <w:r w:rsidRPr="00D26654">
        <w:t>Aus</w:t>
      </w:r>
      <w:proofErr w:type="spellEnd"/>
      <w:r w:rsidRPr="00D26654">
        <w:t xml:space="preserve">] Illustration 1A:  An auditor’s report on a financial report of a single listed company prepared in accordance with the </w:t>
      </w:r>
      <w:r w:rsidR="00BB5F68">
        <w:rPr>
          <w:i/>
        </w:rPr>
        <w:t>Corporations Act 2001</w:t>
      </w:r>
      <w:r w:rsidRPr="00D26654">
        <w:t xml:space="preserve"> (a fair presentation framework).</w:t>
      </w:r>
    </w:p>
    <w:p w14:paraId="1A615BD8" w14:textId="7FC646BB" w:rsidR="0075176B" w:rsidRPr="00D26654" w:rsidRDefault="0075176B" w:rsidP="0075176B">
      <w:pPr>
        <w:pStyle w:val="ListBullet"/>
      </w:pPr>
      <w:r w:rsidRPr="00D26654">
        <w:t>Illustration 2: [Deleted by the AUASB.</w:t>
      </w:r>
      <w:r w:rsidR="008E2111">
        <w:t>]</w:t>
      </w:r>
      <w:r>
        <w:t xml:space="preserve">  </w:t>
      </w:r>
      <w:r w:rsidRPr="00D26654">
        <w:t>Refer [</w:t>
      </w:r>
      <w:proofErr w:type="spellStart"/>
      <w:r w:rsidRPr="00D26654">
        <w:t>Aus</w:t>
      </w:r>
      <w:proofErr w:type="spellEnd"/>
      <w:r w:rsidRPr="00D26654">
        <w:t>] Illustration 2A.</w:t>
      </w:r>
    </w:p>
    <w:p w14:paraId="240D3D92" w14:textId="0FCFB003" w:rsidR="0075176B" w:rsidRPr="00D26654" w:rsidRDefault="0075176B" w:rsidP="0075176B">
      <w:pPr>
        <w:pStyle w:val="ListBullet"/>
      </w:pPr>
      <w:r w:rsidRPr="00D26654">
        <w:t>[</w:t>
      </w:r>
      <w:proofErr w:type="spellStart"/>
      <w:r w:rsidRPr="00D26654">
        <w:t>Aus</w:t>
      </w:r>
      <w:proofErr w:type="spellEnd"/>
      <w:r w:rsidRPr="00D26654">
        <w:t xml:space="preserve">] Illustration 2A:  An auditor’s report on a financial report of a listed company and its subsidiaries (Group) prepared in accordance with the </w:t>
      </w:r>
      <w:r w:rsidR="00BB5F68">
        <w:rPr>
          <w:i/>
        </w:rPr>
        <w:t>Corporations Act 2001</w:t>
      </w:r>
      <w:r w:rsidRPr="00D26654">
        <w:t xml:space="preserve"> (a fair presentation framework).</w:t>
      </w:r>
    </w:p>
    <w:p w14:paraId="2AFFC42F" w14:textId="77777777" w:rsidR="0075176B" w:rsidRPr="00D26654" w:rsidRDefault="0075176B" w:rsidP="0075176B">
      <w:pPr>
        <w:pStyle w:val="ListBullet"/>
      </w:pPr>
      <w:r w:rsidRPr="00D26654">
        <w:t>Illustration 3: An auditor’s report on a financial report of an entity other than a listed entity prepared in accordance with a fair presentation framework.</w:t>
      </w:r>
      <w:r>
        <w:t xml:space="preserve">  </w:t>
      </w:r>
    </w:p>
    <w:p w14:paraId="3116171E" w14:textId="77777777" w:rsidR="0075176B" w:rsidRPr="00D26654" w:rsidRDefault="0075176B" w:rsidP="0075176B">
      <w:pPr>
        <w:pStyle w:val="ListBullet"/>
      </w:pPr>
      <w:r w:rsidRPr="00D26654">
        <w:t>Illustration 4: An auditor’s report on a financial report of an entity other than a listed entity prepared in accordance with a general purpose compliance framework.</w:t>
      </w:r>
    </w:p>
    <w:p w14:paraId="4BAF58BE" w14:textId="693428D1" w:rsidR="009A7882" w:rsidRPr="00F43681" w:rsidRDefault="0075176B" w:rsidP="009A7882">
      <w:pPr>
        <w:keepNext/>
        <w:spacing w:after="200" w:line="260" w:lineRule="exact"/>
        <w:jc w:val="center"/>
        <w:outlineLvl w:val="4"/>
        <w:rPr>
          <w:rFonts w:cs="Arial"/>
          <w:b/>
          <w:bCs/>
          <w:sz w:val="26"/>
          <w:szCs w:val="26"/>
        </w:rPr>
      </w:pPr>
      <w:r w:rsidRPr="00D26654">
        <w:br w:type="page"/>
      </w:r>
      <w:r w:rsidR="009A7882" w:rsidRPr="00F43681">
        <w:rPr>
          <w:rFonts w:cs="Arial"/>
          <w:b/>
          <w:bCs/>
          <w:sz w:val="26"/>
          <w:szCs w:val="26"/>
        </w:rPr>
        <w:lastRenderedPageBreak/>
        <w:t>Example Auditor’s Report</w:t>
      </w:r>
      <w:r w:rsidR="009A7882" w:rsidRPr="00F43681">
        <w:rPr>
          <w:rFonts w:cs="Arial"/>
          <w:b/>
          <w:bCs/>
          <w:sz w:val="26"/>
          <w:szCs w:val="26"/>
        </w:rPr>
        <w:br/>
        <w:t>Single Company—</w:t>
      </w:r>
      <w:r w:rsidR="00BB5F68">
        <w:rPr>
          <w:rFonts w:cs="Arial"/>
          <w:b/>
          <w:bCs/>
          <w:i/>
          <w:sz w:val="26"/>
          <w:szCs w:val="26"/>
        </w:rPr>
        <w:t>Corporations Act 2001</w:t>
      </w:r>
      <w:r w:rsidR="009A7882" w:rsidRPr="00F43681">
        <w:rPr>
          <w:rFonts w:cs="Arial"/>
          <w:b/>
          <w:bCs/>
          <w:sz w:val="26"/>
          <w:szCs w:val="26"/>
        </w:rPr>
        <w:br/>
        <w:t>(Fair Presentation Framework)</w:t>
      </w:r>
    </w:p>
    <w:p w14:paraId="20EC5594" w14:textId="77777777" w:rsidR="009A7882" w:rsidRDefault="009A7882" w:rsidP="009A7882">
      <w:pPr>
        <w:pBdr>
          <w:top w:val="single" w:sz="4" w:space="1" w:color="auto"/>
          <w:left w:val="single" w:sz="4" w:space="4" w:color="auto"/>
          <w:bottom w:val="single" w:sz="4" w:space="1" w:color="auto"/>
          <w:right w:val="single" w:sz="4" w:space="4" w:color="auto"/>
        </w:pBdr>
        <w:rPr>
          <w:szCs w:val="24"/>
        </w:rPr>
      </w:pPr>
    </w:p>
    <w:p w14:paraId="259BDF77" w14:textId="77777777" w:rsidR="009A7882" w:rsidRPr="002D0861"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2D0861">
        <w:rPr>
          <w:szCs w:val="24"/>
        </w:rPr>
        <w:t>[</w:t>
      </w:r>
      <w:proofErr w:type="spellStart"/>
      <w:r w:rsidRPr="002D0861">
        <w:rPr>
          <w:szCs w:val="24"/>
        </w:rPr>
        <w:t>Aus</w:t>
      </w:r>
      <w:proofErr w:type="spellEnd"/>
      <w:r w:rsidRPr="002D0861">
        <w:rPr>
          <w:szCs w:val="24"/>
        </w:rPr>
        <w:t>] Illustration 1A:</w:t>
      </w:r>
    </w:p>
    <w:p w14:paraId="67D8A3C2" w14:textId="77777777" w:rsidR="009A7882" w:rsidRPr="002D0861"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2D0861">
        <w:rPr>
          <w:szCs w:val="24"/>
        </w:rPr>
        <w:t>For purposes of this illustrative auditor’s report, the following circumstances are assumed:</w:t>
      </w:r>
    </w:p>
    <w:p w14:paraId="7D0F26E9"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Audit of </w:t>
      </w:r>
      <w:r w:rsidRPr="00C94BB4">
        <w:t>the financial report of</w:t>
      </w:r>
      <w:r>
        <w:t xml:space="preserve"> </w:t>
      </w:r>
      <w:r w:rsidRPr="002D0861">
        <w:t xml:space="preserve">a single </w:t>
      </w:r>
      <w:r>
        <w:t xml:space="preserve">listed </w:t>
      </w:r>
      <w:r w:rsidRPr="002D0861">
        <w:t>company</w:t>
      </w:r>
      <w:r w:rsidRPr="003B3141">
        <w:t>.</w:t>
      </w:r>
      <w:r w:rsidRPr="002D0861">
        <w:t xml:space="preserve"> </w:t>
      </w:r>
      <w:r>
        <w:t xml:space="preserve"> </w:t>
      </w:r>
      <w:r w:rsidRPr="002D0861">
        <w:t>The audit is not a group audit (i.e. ASA</w:t>
      </w:r>
      <w:r>
        <w:t> </w:t>
      </w:r>
      <w:r w:rsidRPr="002D0861">
        <w:t>600 does not apply).</w:t>
      </w:r>
    </w:p>
    <w:p w14:paraId="4954A5E4" w14:textId="00DEA0A8"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financial report is prepared by </w:t>
      </w:r>
      <w:r>
        <w:t xml:space="preserve">the directors </w:t>
      </w:r>
      <w:r w:rsidRPr="002D0861">
        <w:t xml:space="preserve">of the </w:t>
      </w:r>
      <w:r>
        <w:t>company</w:t>
      </w:r>
      <w:r w:rsidRPr="002D0861">
        <w:t xml:space="preserve"> in accordance with Australian Accounting Standards (a general purpose framework) and under the </w:t>
      </w:r>
      <w:r w:rsidR="00BB5F68">
        <w:rPr>
          <w:i/>
        </w:rPr>
        <w:t>Corporations Act 2001</w:t>
      </w:r>
      <w:r w:rsidRPr="002D0861">
        <w:t>.</w:t>
      </w:r>
    </w:p>
    <w:p w14:paraId="4F6CEF5F"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terms of the audit engagement reflect the description of </w:t>
      </w:r>
      <w:r>
        <w:t>the directors’</w:t>
      </w:r>
      <w:r w:rsidRPr="002D0861">
        <w:t xml:space="preserve"> responsibility for the financial report in ASA</w:t>
      </w:r>
      <w:r>
        <w:t> </w:t>
      </w:r>
      <w:r w:rsidRPr="002D0861">
        <w:t>210.</w:t>
      </w:r>
    </w:p>
    <w:p w14:paraId="2127FDA9"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The auditor has concluded an unmodified (i.e. “clean”) opinion is appropriate based on the audit evidence obtained.</w:t>
      </w:r>
    </w:p>
    <w:p w14:paraId="163AF053" w14:textId="013FF22D" w:rsidR="009A7882" w:rsidRPr="00EC7E5A"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 xml:space="preserve">The relevant ethical requirements that apply to the audit are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t>.</w:t>
      </w:r>
    </w:p>
    <w:p w14:paraId="6E224EE8"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Based on the audit evidence obtained, the auditor has concluded that a material uncertainty does not exist related to events or conditions that may cast significant doubt on the company’s ability to continue as a going concern in accordance with ASA</w:t>
      </w:r>
      <w:r>
        <w:t> </w:t>
      </w:r>
      <w:r w:rsidRPr="002D0861">
        <w:t>570.</w:t>
      </w:r>
    </w:p>
    <w:p w14:paraId="353A014F"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ind w:left="1418" w:hanging="1418"/>
      </w:pPr>
      <w:r w:rsidRPr="002D0861">
        <w:t>Key audit matters have been communicated in accordance with ASA</w:t>
      </w:r>
      <w:r>
        <w:t> </w:t>
      </w:r>
      <w:r w:rsidRPr="002D0861">
        <w:t>701.</w:t>
      </w:r>
    </w:p>
    <w:p w14:paraId="0D510440"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The auditor has obtained all of the other information prior to the date of the auditor’s report and has not identified a material misstatement of the other information.</w:t>
      </w:r>
    </w:p>
    <w:p w14:paraId="781CC8D7" w14:textId="4A29E04F" w:rsidR="009A7882" w:rsidRPr="00C94BB4"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spacing w:after="0"/>
      </w:pPr>
      <w:r w:rsidRPr="002D0861">
        <w:t>In addition to the audit of the financial report, the auditor has other reporting responsibilities required under section</w:t>
      </w:r>
      <w:r>
        <w:t> </w:t>
      </w:r>
      <w:r w:rsidRPr="002D0861">
        <w:t xml:space="preserve">308(3C) of the </w:t>
      </w:r>
      <w:r w:rsidR="00BB5F68">
        <w:rPr>
          <w:i/>
        </w:rPr>
        <w:t>Corporations Act 2001</w:t>
      </w:r>
      <w:r w:rsidRPr="002D0861">
        <w:t>.</w:t>
      </w:r>
      <w:r>
        <w:t xml:space="preserve"> </w:t>
      </w:r>
      <w:r w:rsidRPr="002D0861">
        <w:t xml:space="preserve"> </w:t>
      </w:r>
      <w:r w:rsidRPr="00A12248">
        <w:rPr>
          <w:rStyle w:val="RefParas"/>
        </w:rPr>
        <w:t>(</w:t>
      </w:r>
      <w:r w:rsidR="00BB5F68">
        <w:rPr>
          <w:rStyle w:val="RefParas"/>
        </w:rPr>
        <w:t>Ref: Para. </w:t>
      </w:r>
      <w:r w:rsidRPr="00C94BB4">
        <w:rPr>
          <w:rStyle w:val="RefParas"/>
        </w:rPr>
        <w:t>4</w:t>
      </w:r>
      <w:r w:rsidR="001C2921" w:rsidRPr="00C94BB4">
        <w:rPr>
          <w:rStyle w:val="RefParas"/>
        </w:rPr>
        <w:t>3</w:t>
      </w:r>
      <w:r w:rsidR="001C2921">
        <w:rPr>
          <w:rStyle w:val="RefParas"/>
        </w:rPr>
        <w:noBreakHyphen/>
      </w:r>
      <w:r w:rsidR="001C2921" w:rsidRPr="00C94BB4">
        <w:rPr>
          <w:rStyle w:val="RefParas"/>
        </w:rPr>
        <w:t>4</w:t>
      </w:r>
      <w:r w:rsidRPr="00C94BB4">
        <w:rPr>
          <w:rStyle w:val="RefParas"/>
        </w:rPr>
        <w:t>5)</w:t>
      </w:r>
    </w:p>
    <w:p w14:paraId="0351C5CA" w14:textId="77777777" w:rsidR="009A7882" w:rsidRDefault="009A7882" w:rsidP="009A7882">
      <w:pPr>
        <w:pBdr>
          <w:top w:val="single" w:sz="4" w:space="1" w:color="auto"/>
          <w:left w:val="single" w:sz="4" w:space="4" w:color="auto"/>
          <w:bottom w:val="single" w:sz="4" w:space="1" w:color="auto"/>
          <w:right w:val="single" w:sz="4" w:space="4" w:color="auto"/>
        </w:pBdr>
        <w:spacing w:after="200"/>
        <w:rPr>
          <w:szCs w:val="24"/>
        </w:rPr>
      </w:pPr>
    </w:p>
    <w:p w14:paraId="731D7639" w14:textId="77777777" w:rsidR="009A7882" w:rsidRPr="00F43681" w:rsidRDefault="009A7882" w:rsidP="009A7882">
      <w:pPr>
        <w:spacing w:after="200"/>
        <w:rPr>
          <w:szCs w:val="24"/>
        </w:rPr>
      </w:pPr>
      <w:r w:rsidRPr="00F43681">
        <w:rPr>
          <w:szCs w:val="24"/>
        </w:rPr>
        <w:t>INDEPENDENT AUDITOR’S REPORT</w:t>
      </w:r>
    </w:p>
    <w:p w14:paraId="4C4D707B" w14:textId="77777777" w:rsidR="009A7882" w:rsidRPr="00F43681" w:rsidRDefault="009A7882" w:rsidP="009A7882">
      <w:pPr>
        <w:spacing w:after="200"/>
        <w:rPr>
          <w:szCs w:val="24"/>
        </w:rPr>
      </w:pPr>
      <w:r w:rsidRPr="00F43681">
        <w:rPr>
          <w:szCs w:val="24"/>
        </w:rPr>
        <w:t>[Appropriate Addressee]</w:t>
      </w:r>
    </w:p>
    <w:p w14:paraId="51E0EE55" w14:textId="77777777" w:rsidR="009A7882" w:rsidRPr="00F43681" w:rsidRDefault="009A7882" w:rsidP="009A7882">
      <w:pPr>
        <w:pStyle w:val="Heading6"/>
      </w:pPr>
      <w:r w:rsidRPr="00F43681">
        <w:t>Report on the Audit of the Financial Report</w:t>
      </w:r>
      <w:r w:rsidRPr="00BB5F68">
        <w:rPr>
          <w:rStyle w:val="FootnoteReference"/>
        </w:rPr>
        <w:footnoteReference w:customMarkFollows="1" w:id="1"/>
        <w:t>#</w:t>
      </w:r>
    </w:p>
    <w:p w14:paraId="3D240FF1" w14:textId="77777777" w:rsidR="009A7882" w:rsidRPr="00F43681" w:rsidRDefault="009A7882" w:rsidP="009A7882">
      <w:pPr>
        <w:pStyle w:val="Heading6"/>
      </w:pPr>
      <w:r w:rsidRPr="00F43681">
        <w:t>Opinion</w:t>
      </w:r>
    </w:p>
    <w:p w14:paraId="2B845AF5" w14:textId="77777777" w:rsidR="009A7882" w:rsidRPr="00F43681" w:rsidRDefault="009A7882" w:rsidP="009A7882">
      <w:pPr>
        <w:pStyle w:val="ParaPlain"/>
      </w:pPr>
      <w:r w:rsidRPr="00F43681">
        <w:t>We have audited the financial report of ABC Company Ltd. (the Company), which comprises the statement of financial position as at 30</w:t>
      </w:r>
      <w:r>
        <w:t> </w:t>
      </w:r>
      <w:r w:rsidRPr="00F43681">
        <w:t xml:space="preserve">June 20X1, the statement of comprehensive income, statement of changes in equity and statement of cash flows for the year then ended, and notes to the financial </w:t>
      </w:r>
      <w:r>
        <w:t>statements</w:t>
      </w:r>
      <w:r w:rsidRPr="00F43681">
        <w:t>, including a summary of significant accounting policies, and the directors’ declaration.</w:t>
      </w:r>
    </w:p>
    <w:p w14:paraId="0FA22AA5" w14:textId="2B7DB6BA" w:rsidR="009A7882" w:rsidRPr="00F43681" w:rsidRDefault="009A7882" w:rsidP="009A7882">
      <w:pPr>
        <w:pStyle w:val="ParaPlain"/>
      </w:pPr>
      <w:r w:rsidRPr="00F43681">
        <w:t>In our opinion</w:t>
      </w:r>
      <w:r>
        <w:t xml:space="preserve">, </w:t>
      </w:r>
      <w:r w:rsidRPr="008A2940">
        <w:t xml:space="preserve">the </w:t>
      </w:r>
      <w:r w:rsidRPr="00B43F7D">
        <w:t xml:space="preserve">accompanying </w:t>
      </w:r>
      <w:r w:rsidRPr="008A2940">
        <w:t>financial</w:t>
      </w:r>
      <w:r w:rsidRPr="00F43681">
        <w:t xml:space="preserve"> report of ABC Company Ltd., is in accordance with the </w:t>
      </w:r>
      <w:r w:rsidR="00BB5F68">
        <w:rPr>
          <w:i/>
        </w:rPr>
        <w:t>Corporations Act 2001</w:t>
      </w:r>
      <w:r w:rsidRPr="00F43681">
        <w:t>, including:</w:t>
      </w:r>
    </w:p>
    <w:p w14:paraId="5B4AB3E9" w14:textId="77777777" w:rsidR="009A7882" w:rsidRPr="00F43681" w:rsidRDefault="009A7882" w:rsidP="009A7882">
      <w:pPr>
        <w:pStyle w:val="ParaLevel2"/>
        <w:tabs>
          <w:tab w:val="clear" w:pos="1418"/>
        </w:tabs>
        <w:ind w:left="709"/>
      </w:pPr>
      <w:r w:rsidRPr="00F43681">
        <w:lastRenderedPageBreak/>
        <w:t xml:space="preserve">giving a true and fair view of the company’s financial position as at 30 June 20X1 and of its </w:t>
      </w:r>
      <w:r w:rsidRPr="003B3141">
        <w:t>financial</w:t>
      </w:r>
      <w:r>
        <w:t xml:space="preserve"> </w:t>
      </w:r>
      <w:r w:rsidRPr="00F43681">
        <w:t xml:space="preserve">performance for the year </w:t>
      </w:r>
      <w:r>
        <w:t xml:space="preserve">then </w:t>
      </w:r>
      <w:r w:rsidRPr="00F43681">
        <w:t>ended; and</w:t>
      </w:r>
    </w:p>
    <w:p w14:paraId="5BE4E5C8" w14:textId="77777777" w:rsidR="009A7882" w:rsidRPr="00F43681" w:rsidRDefault="009A7882" w:rsidP="009A7882">
      <w:pPr>
        <w:pStyle w:val="ParaLevel2"/>
        <w:tabs>
          <w:tab w:val="clear" w:pos="1418"/>
        </w:tabs>
        <w:ind w:left="709"/>
      </w:pPr>
      <w:r w:rsidRPr="00F43681">
        <w:t xml:space="preserve">complying with Australian Accounting Standards and the </w:t>
      </w:r>
      <w:r w:rsidRPr="00F43681">
        <w:rPr>
          <w:i/>
        </w:rPr>
        <w:t>Corporations Regulations 2001</w:t>
      </w:r>
      <w:r w:rsidRPr="00F43681">
        <w:t>.</w:t>
      </w:r>
    </w:p>
    <w:p w14:paraId="77501853" w14:textId="77777777" w:rsidR="009A7882" w:rsidRPr="00F43681" w:rsidRDefault="009A7882" w:rsidP="009A7882">
      <w:pPr>
        <w:pStyle w:val="Heading6"/>
      </w:pPr>
      <w:r w:rsidRPr="00F43681">
        <w:t>Basis for Opinion</w:t>
      </w:r>
    </w:p>
    <w:p w14:paraId="56C20CDB" w14:textId="0D3A64F8" w:rsidR="009A7882" w:rsidRPr="00F43681" w:rsidRDefault="009A7882" w:rsidP="009A7882">
      <w:pPr>
        <w:pStyle w:val="ParaPlain"/>
      </w:pPr>
      <w:r w:rsidRPr="00F43681">
        <w:t xml:space="preserve">We conducted our audit in accordance with Australian Auditing Standards. </w:t>
      </w:r>
      <w:r>
        <w:t xml:space="preserve"> </w:t>
      </w:r>
      <w:r w:rsidRPr="00F43681">
        <w:t xml:space="preserve">Our responsibilities under those standards are further described in the </w:t>
      </w:r>
      <w:r w:rsidRPr="00F43681">
        <w:rPr>
          <w:i/>
        </w:rPr>
        <w:t>Auditor’s Responsibilities for the Audit of the Financial Report</w:t>
      </w:r>
      <w:r w:rsidRPr="00F43681">
        <w:t xml:space="preserve"> section of our report</w:t>
      </w:r>
      <w:r w:rsidRPr="00410F78">
        <w:t xml:space="preserve">. </w:t>
      </w:r>
      <w:r>
        <w:t xml:space="preserve"> </w:t>
      </w:r>
      <w:r w:rsidRPr="00410F78">
        <w:t>We are independent of the Company in accordance with the</w:t>
      </w:r>
      <w:r>
        <w:t xml:space="preserve"> auditor independence requirements of the </w:t>
      </w:r>
      <w:r w:rsidR="00BB5F68">
        <w:rPr>
          <w:i/>
        </w:rPr>
        <w:t>Corporations Act 2001</w:t>
      </w:r>
      <w:r w:rsidRPr="00410F78">
        <w:t xml:space="preserve"> and the ethical requirements </w:t>
      </w:r>
      <w:r>
        <w:t xml:space="preserve">of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rPr>
          <w:i/>
        </w:rPr>
        <w:t xml:space="preserve"> </w:t>
      </w:r>
      <w:r>
        <w:t xml:space="preserve">(the Code) </w:t>
      </w:r>
      <w:r w:rsidRPr="00410F78">
        <w:t>that are relevant to our audit of the financial report in Australia</w:t>
      </w:r>
      <w:r>
        <w:t>.  W</w:t>
      </w:r>
      <w:r w:rsidRPr="00410F78">
        <w:t xml:space="preserve">e have </w:t>
      </w:r>
      <w:r>
        <w:t xml:space="preserve">also </w:t>
      </w:r>
      <w:r w:rsidRPr="00410F78">
        <w:t xml:space="preserve">fulfilled our other ethical responsibilities in accordance with the </w:t>
      </w:r>
      <w:r>
        <w:t>Code</w:t>
      </w:r>
      <w:r w:rsidRPr="00410F78">
        <w:t>.</w:t>
      </w:r>
      <w:r w:rsidRPr="00F43681">
        <w:t xml:space="preserve"> </w:t>
      </w:r>
    </w:p>
    <w:p w14:paraId="6D740C31" w14:textId="76B4B550" w:rsidR="009A7882" w:rsidRPr="00F43681" w:rsidRDefault="009A7882" w:rsidP="009A7882">
      <w:pPr>
        <w:pStyle w:val="ParaPlain"/>
      </w:pPr>
      <w:r w:rsidRPr="00F43681">
        <w:t xml:space="preserve">We confirm that the independence declaration required by the </w:t>
      </w:r>
      <w:r w:rsidR="00BB5F68">
        <w:rPr>
          <w:i/>
        </w:rPr>
        <w:t>Corporations Act 2001</w:t>
      </w:r>
      <w:r w:rsidRPr="00F43681">
        <w:t xml:space="preserve">, which has been given to the directors </w:t>
      </w:r>
      <w:r w:rsidRPr="00C94BB4">
        <w:t>of the Company, would</w:t>
      </w:r>
      <w:r w:rsidRPr="00F43681">
        <w:t xml:space="preserve"> be in the same terms if given to the directors as at the time of this auditor’s report.</w:t>
      </w:r>
      <w:r w:rsidRPr="00BB5F68">
        <w:rPr>
          <w:rStyle w:val="FootnoteReference"/>
        </w:rPr>
        <w:footnoteReference w:customMarkFollows="1" w:id="2"/>
        <w:sym w:font="Symbol" w:char="F02A"/>
      </w:r>
    </w:p>
    <w:p w14:paraId="18049D74" w14:textId="77777777" w:rsidR="009A7882" w:rsidRPr="00F43681" w:rsidRDefault="009A7882" w:rsidP="009A7882">
      <w:pPr>
        <w:pStyle w:val="ParaPlain"/>
      </w:pPr>
      <w:r w:rsidRPr="00F43681">
        <w:t>We believe that the audit evidence we have obtained is sufficient and appropriate to provide a basis for our opinion.</w:t>
      </w:r>
    </w:p>
    <w:p w14:paraId="0419231E" w14:textId="77777777" w:rsidR="009A7882" w:rsidRPr="00F43681" w:rsidRDefault="009A7882" w:rsidP="009A7882">
      <w:pPr>
        <w:pStyle w:val="Heading6"/>
      </w:pPr>
      <w:r w:rsidRPr="00F43681">
        <w:t>Key Audit Matters</w:t>
      </w:r>
    </w:p>
    <w:p w14:paraId="5364DD4F" w14:textId="77777777" w:rsidR="009A7882" w:rsidRPr="00F43681" w:rsidRDefault="009A7882" w:rsidP="009A7882">
      <w:pPr>
        <w:pStyle w:val="ParaPlain"/>
      </w:pPr>
      <w:r w:rsidRPr="00F43681">
        <w:t xml:space="preserve">Key audit matters are those matters that, in our professional judgement, were of most significance in our audit of the financial report of the </w:t>
      </w:r>
      <w:r w:rsidRPr="000504F0">
        <w:t xml:space="preserve">current period. </w:t>
      </w:r>
      <w:r>
        <w:t xml:space="preserve"> </w:t>
      </w:r>
      <w:r w:rsidRPr="000504F0">
        <w:t>These</w:t>
      </w:r>
      <w:r w:rsidRPr="00F43681">
        <w:t xml:space="preserve"> matters were addressed in the context of our audit of the financial report as a whole, and in forming our opinion thereon, and we do not provide a separate opinion on these matters.</w:t>
      </w:r>
    </w:p>
    <w:p w14:paraId="5F8B0E5E" w14:textId="77777777" w:rsidR="009A7882" w:rsidRPr="00F43681" w:rsidRDefault="009A7882" w:rsidP="009A7882">
      <w:pPr>
        <w:spacing w:after="200"/>
        <w:rPr>
          <w:szCs w:val="24"/>
        </w:rPr>
      </w:pPr>
      <w:r w:rsidRPr="00F43681">
        <w:rPr>
          <w:szCs w:val="24"/>
        </w:rPr>
        <w:t>[</w:t>
      </w:r>
      <w:r w:rsidRPr="00F43681">
        <w:rPr>
          <w:i/>
          <w:szCs w:val="24"/>
        </w:rPr>
        <w:t>Description of each key audit matter in accordance with ASA</w:t>
      </w:r>
      <w:r>
        <w:rPr>
          <w:i/>
          <w:szCs w:val="24"/>
        </w:rPr>
        <w:t> </w:t>
      </w:r>
      <w:r w:rsidRPr="00F43681">
        <w:rPr>
          <w:i/>
          <w:szCs w:val="24"/>
        </w:rPr>
        <w:t>701.</w:t>
      </w:r>
      <w:r w:rsidRPr="00F43681">
        <w:rPr>
          <w:szCs w:val="24"/>
        </w:rPr>
        <w:t>]</w:t>
      </w:r>
    </w:p>
    <w:p w14:paraId="74B310D9" w14:textId="77777777" w:rsidR="009A7882" w:rsidRPr="003B3141" w:rsidRDefault="009A7882" w:rsidP="009A7882">
      <w:pPr>
        <w:pStyle w:val="Heading6"/>
      </w:pPr>
      <w:r>
        <w:t xml:space="preserve">Other </w:t>
      </w:r>
      <w:r w:rsidRPr="00C94BB4">
        <w:t xml:space="preserve">Information </w:t>
      </w:r>
      <w:r w:rsidRPr="003B3141">
        <w:t>[or another title if appropriate such as “Information Other than the Financial Report and Auditor’s Report Thereon”]</w:t>
      </w:r>
    </w:p>
    <w:p w14:paraId="149A59D5" w14:textId="77777777" w:rsidR="009A7882" w:rsidRPr="003B3141" w:rsidRDefault="009A7882" w:rsidP="009A7882">
      <w:pPr>
        <w:spacing w:after="200"/>
        <w:outlineLvl w:val="0"/>
        <w:rPr>
          <w:rFonts w:eastAsia="Calibri"/>
        </w:rPr>
      </w:pPr>
      <w:r w:rsidRPr="003B3141">
        <w:rPr>
          <w:rFonts w:eastAsia="Calibri"/>
          <w:i/>
        </w:rPr>
        <w:t>[Reporting in accordance with the reporting requirements in ASA 720 – see [</w:t>
      </w:r>
      <w:proofErr w:type="spellStart"/>
      <w:r w:rsidRPr="003B3141">
        <w:rPr>
          <w:rFonts w:eastAsia="Calibri"/>
          <w:i/>
        </w:rPr>
        <w:t>Aus</w:t>
      </w:r>
      <w:proofErr w:type="spellEnd"/>
      <w:r w:rsidRPr="003B3141">
        <w:rPr>
          <w:rFonts w:eastAsia="Calibri"/>
          <w:i/>
        </w:rPr>
        <w:t>] Illustration 1A in Appendix 3 of ASA 720.]</w:t>
      </w:r>
    </w:p>
    <w:p w14:paraId="007503BE" w14:textId="77777777" w:rsidR="009A7882" w:rsidRDefault="009A7882" w:rsidP="009A7882">
      <w:pPr>
        <w:pStyle w:val="ParaPlain"/>
      </w:pPr>
      <w:r>
        <w:t xml:space="preserve">The directors are responsible for the other information.  The other information comprises the information </w:t>
      </w:r>
      <w:r w:rsidRPr="003B3141">
        <w:t>included</w:t>
      </w:r>
      <w:r>
        <w:t xml:space="preserve"> in the Company’s annual report for the year ended 30 June 20X1, but does not include the financial report and </w:t>
      </w:r>
      <w:r w:rsidRPr="003B3141">
        <w:t>our</w:t>
      </w:r>
      <w:r>
        <w:t xml:space="preserve"> auditor’s report thereon.</w:t>
      </w:r>
    </w:p>
    <w:p w14:paraId="241D4ED1"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136563A6"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33AC8D5E"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7DB817DD" w14:textId="77777777" w:rsidR="009A7882" w:rsidRPr="00F43681" w:rsidRDefault="009A7882" w:rsidP="009A7882">
      <w:pPr>
        <w:pStyle w:val="Heading6"/>
      </w:pPr>
      <w:r w:rsidRPr="00F43681">
        <w:lastRenderedPageBreak/>
        <w:t>Responsibilities</w:t>
      </w:r>
      <w:r>
        <w:t xml:space="preserve"> of the Directors for the Financial Report</w:t>
      </w:r>
      <w:r w:rsidRPr="00F43681">
        <w:t xml:space="preserve"> </w:t>
      </w:r>
    </w:p>
    <w:p w14:paraId="1A787123" w14:textId="4D9012AA" w:rsidR="009A7882" w:rsidRPr="00F43681" w:rsidRDefault="009A7882" w:rsidP="009A7882">
      <w:pPr>
        <w:pStyle w:val="ParaPlain"/>
      </w:pPr>
      <w:r>
        <w:t>The directors of the Company are</w:t>
      </w:r>
      <w:r w:rsidRPr="00F43681">
        <w:t xml:space="preserve"> responsible for the preparation of the financial report that gives a true and fair view in accordance with Australian Accounting Standards and the </w:t>
      </w:r>
      <w:r w:rsidR="00BB5F68">
        <w:rPr>
          <w:i/>
        </w:rPr>
        <w:t>Corporations Act 2001</w:t>
      </w:r>
      <w:r w:rsidRPr="00F43681">
        <w:t xml:space="preserve"> and for such internal control as </w:t>
      </w:r>
      <w:r>
        <w:t>the directors</w:t>
      </w:r>
      <w:r w:rsidRPr="00F43681">
        <w:t xml:space="preserve"> determine is necessary to enable the preparation of the financial report that gives a true and fair view and is free from material misstatement, whether due to fraud or error.  </w:t>
      </w:r>
    </w:p>
    <w:p w14:paraId="1999008B" w14:textId="77777777" w:rsidR="009A7882" w:rsidRPr="00F43681" w:rsidRDefault="009A7882" w:rsidP="009A7882">
      <w:pPr>
        <w:pStyle w:val="ParaPlain"/>
      </w:pPr>
      <w:r w:rsidRPr="00F43681">
        <w:t xml:space="preserve">In preparing the financial report, </w:t>
      </w:r>
      <w:r>
        <w:t>the directors are</w:t>
      </w:r>
      <w:r w:rsidRPr="00F43681">
        <w:t xml:space="preserve"> responsible for assessing the Company’s ability to continue as a going concern, disclosing, as applicable, matters related to going concern and using the going concern basis of accounting unless </w:t>
      </w:r>
      <w:r>
        <w:t>the directors</w:t>
      </w:r>
      <w:r w:rsidRPr="00F43681">
        <w:t xml:space="preserve"> either intend to liquidate the Company or to cease operations, </w:t>
      </w:r>
      <w:r w:rsidRPr="000504F0">
        <w:t>or ha</w:t>
      </w:r>
      <w:r w:rsidRPr="003B5DA7">
        <w:t>ve</w:t>
      </w:r>
      <w:r w:rsidRPr="000504F0">
        <w:t xml:space="preserve"> no</w:t>
      </w:r>
      <w:r w:rsidRPr="00F43681">
        <w:t xml:space="preserve"> realistic alternative but to do so.</w:t>
      </w:r>
    </w:p>
    <w:p w14:paraId="1DB68A26" w14:textId="77777777" w:rsidR="009A7882" w:rsidRPr="00F43681" w:rsidRDefault="009A7882" w:rsidP="009A7882">
      <w:pPr>
        <w:pStyle w:val="Heading6"/>
      </w:pPr>
      <w:r w:rsidRPr="00F43681">
        <w:t>Auditor’s Responsibilities for the Audit of the Financial Report</w:t>
      </w:r>
    </w:p>
    <w:p w14:paraId="7EDE8960" w14:textId="77777777" w:rsidR="009A7882" w:rsidRDefault="009A7882" w:rsidP="009A7882">
      <w:pPr>
        <w:pStyle w:val="ParaPlain"/>
      </w:pPr>
      <w:r w:rsidRPr="00F43681">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w:t>
      </w:r>
      <w:r>
        <w:t xml:space="preserve"> </w:t>
      </w:r>
      <w:r w:rsidRPr="00F43681">
        <w:t xml:space="preserve"> Misstatements can arise from fraud or error and are considered material if, individually or in the aggregate, they could reasonably be expected to influence the economic decisions of users taken on the basis of this financial report.</w:t>
      </w:r>
    </w:p>
    <w:p w14:paraId="3A492335" w14:textId="11D8C35B" w:rsidR="009A7882" w:rsidRPr="00F43681" w:rsidRDefault="009A7882" w:rsidP="009A7882">
      <w:pPr>
        <w:pStyle w:val="ParaPlain"/>
      </w:pPr>
      <w:r w:rsidRPr="00882CB4">
        <w:t>[</w:t>
      </w:r>
      <w:r w:rsidRPr="00882CB4">
        <w:rPr>
          <w:rStyle w:val="RefParas"/>
          <w:sz w:val="22"/>
          <w:szCs w:val="22"/>
        </w:rPr>
        <w:t xml:space="preserve">A further description of our responsibilities for the audit of the financial report is located at the Auditing and Assurance Standards Board website at: </w:t>
      </w:r>
      <w:hyperlink r:id="rId11" w:tooltip="AUASB website" w:history="1">
        <w:r w:rsidRPr="00882CB4">
          <w:rPr>
            <w:rStyle w:val="Hyperlink"/>
            <w:szCs w:val="22"/>
          </w:rPr>
          <w:t>http://www.auasb.gov.au/Home.aspx</w:t>
        </w:r>
      </w:hyperlink>
      <w:r w:rsidRPr="00882CB4">
        <w:rPr>
          <w:rStyle w:val="Hyperlink"/>
          <w:szCs w:val="22"/>
        </w:rPr>
        <w:t>.</w:t>
      </w:r>
      <w:r w:rsidRPr="00882CB4">
        <w:rPr>
          <w:rStyle w:val="RefParas"/>
          <w:sz w:val="22"/>
          <w:szCs w:val="22"/>
        </w:rPr>
        <w:t xml:space="preserve"> </w:t>
      </w:r>
      <w:r>
        <w:rPr>
          <w:rStyle w:val="RefParas"/>
          <w:sz w:val="22"/>
          <w:szCs w:val="22"/>
        </w:rPr>
        <w:t xml:space="preserve"> </w:t>
      </w:r>
      <w:r w:rsidRPr="00882CB4">
        <w:rPr>
          <w:rStyle w:val="RefParas"/>
          <w:sz w:val="22"/>
          <w:szCs w:val="22"/>
        </w:rPr>
        <w:t>This description forms part of our auditor’s report.]</w:t>
      </w:r>
    </w:p>
    <w:p w14:paraId="22D8817F"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882CB4">
        <w:rPr>
          <w:sz w:val="18"/>
          <w:szCs w:val="18"/>
        </w:rPr>
        <w:t>41(</w:t>
      </w:r>
      <w:r w:rsidRPr="00F43681">
        <w:rPr>
          <w:sz w:val="18"/>
          <w:szCs w:val="18"/>
        </w:rPr>
        <w:t>b) explains that the shaded material below can be located in an Appendix to the auditor’s report.</w:t>
      </w:r>
      <w:r>
        <w:rPr>
          <w:sz w:val="18"/>
          <w:szCs w:val="18"/>
        </w:rPr>
        <w:t xml:space="preserve">  </w:t>
      </w:r>
    </w:p>
    <w:p w14:paraId="66ECA56C" w14:textId="43CB4789" w:rsidR="009A7882" w:rsidRPr="00F43681" w:rsidRDefault="001C2921" w:rsidP="009A7882">
      <w:pPr>
        <w:shd w:val="clear" w:color="auto" w:fill="BFBFBF" w:themeFill="background1" w:themeFillShade="BF"/>
        <w:spacing w:after="200"/>
        <w:rPr>
          <w:sz w:val="18"/>
          <w:szCs w:val="18"/>
        </w:rPr>
      </w:pPr>
      <w:r w:rsidRPr="009A617D">
        <w:rPr>
          <w:sz w:val="18"/>
          <w:szCs w:val="18"/>
        </w:rPr>
        <w:t>Paragraph</w:t>
      </w:r>
      <w:r>
        <w:rPr>
          <w:sz w:val="18"/>
          <w:szCs w:val="18"/>
        </w:rPr>
        <w:t> </w:t>
      </w:r>
      <w:r w:rsidRPr="00882CB4">
        <w:rPr>
          <w:sz w:val="18"/>
          <w:szCs w:val="18"/>
        </w:rPr>
        <w:t>4</w:t>
      </w:r>
      <w:r w:rsidR="009A7882" w:rsidRPr="00882CB4">
        <w:rPr>
          <w:sz w:val="18"/>
          <w:szCs w:val="18"/>
        </w:rPr>
        <w:t>1(</w:t>
      </w:r>
      <w:r w:rsidR="009A7882" w:rsidRPr="009A617D">
        <w:rPr>
          <w:sz w:val="18"/>
          <w:szCs w:val="18"/>
        </w:rPr>
        <w:t>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A7882">
        <w:rPr>
          <w:sz w:val="18"/>
          <w:szCs w:val="18"/>
        </w:rPr>
        <w:t xml:space="preserve">  </w:t>
      </w:r>
      <w:r w:rsidR="009A7882" w:rsidRPr="003B3141">
        <w:rPr>
          <w:sz w:val="18"/>
          <w:szCs w:val="18"/>
        </w:rPr>
        <w:t xml:space="preserve">When the auditor refers to a description of the auditor’s responsibilities on a website, the appropriate authority is </w:t>
      </w:r>
      <w:r w:rsidR="009A7882">
        <w:rPr>
          <w:sz w:val="18"/>
          <w:szCs w:val="18"/>
        </w:rPr>
        <w:t>t</w:t>
      </w:r>
      <w:r w:rsidR="009A7882" w:rsidRPr="003B3141">
        <w:rPr>
          <w:sz w:val="18"/>
          <w:szCs w:val="18"/>
        </w:rPr>
        <w:t xml:space="preserve">he Auditing and Assurance Standards Board and the website address is </w:t>
      </w:r>
      <w:hyperlink r:id="rId12" w:tooltip="AUASB website" w:history="1">
        <w:r w:rsidR="009A7882" w:rsidRPr="003B3141">
          <w:rPr>
            <w:rStyle w:val="Hyperlink"/>
            <w:sz w:val="18"/>
            <w:szCs w:val="18"/>
          </w:rPr>
          <w:t>http://www.auasb.gov.au/Home.aspx</w:t>
        </w:r>
      </w:hyperlink>
      <w:r w:rsidR="009A7882" w:rsidRPr="00882CB4">
        <w:rPr>
          <w:rStyle w:val="Hyperlink"/>
          <w:szCs w:val="22"/>
        </w:rPr>
        <w:t xml:space="preserve"> </w:t>
      </w:r>
      <w:r w:rsidR="009A7882" w:rsidRPr="003B3141">
        <w:rPr>
          <w:rStyle w:val="RefParas"/>
        </w:rPr>
        <w:t>(</w:t>
      </w:r>
      <w:r w:rsidR="00BB5F68">
        <w:rPr>
          <w:rStyle w:val="RefParas"/>
        </w:rPr>
        <w:t>Ref: Para. </w:t>
      </w:r>
      <w:proofErr w:type="spellStart"/>
      <w:r w:rsidR="009A7882" w:rsidRPr="003B3141">
        <w:rPr>
          <w:rStyle w:val="RefParas"/>
        </w:rPr>
        <w:t>Aus</w:t>
      </w:r>
      <w:proofErr w:type="spellEnd"/>
      <w:r w:rsidR="009A7882" w:rsidRPr="003B3141">
        <w:rPr>
          <w:rStyle w:val="RefParas"/>
        </w:rPr>
        <w:t xml:space="preserve"> A57.1)</w:t>
      </w:r>
    </w:p>
    <w:p w14:paraId="1F931A98"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69700472"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09677158"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14:paraId="6073EDF8"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Evaluate the appropriateness of accounting policies used and the reasonableness of accounting estimates and related disclosures made by </w:t>
      </w:r>
      <w:r>
        <w:rPr>
          <w:sz w:val="18"/>
          <w:szCs w:val="18"/>
        </w:rPr>
        <w:t>the directors</w:t>
      </w:r>
      <w:r w:rsidRPr="00F43681">
        <w:rPr>
          <w:sz w:val="18"/>
          <w:szCs w:val="18"/>
        </w:rPr>
        <w:t>.</w:t>
      </w:r>
    </w:p>
    <w:p w14:paraId="5A7D3B5A"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w:t>
      </w:r>
      <w:r>
        <w:rPr>
          <w:sz w:val="18"/>
          <w:szCs w:val="18"/>
        </w:rPr>
        <w:t>the directors’</w:t>
      </w:r>
      <w:r w:rsidRPr="00F43681">
        <w:rPr>
          <w:sz w:val="18"/>
          <w:szCs w:val="18"/>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w:t>
      </w:r>
      <w:r>
        <w:rPr>
          <w:sz w:val="18"/>
          <w:szCs w:val="18"/>
        </w:rPr>
        <w:t xml:space="preserve"> </w:t>
      </w:r>
      <w:r w:rsidRPr="00F43681">
        <w:rPr>
          <w:sz w:val="18"/>
          <w:szCs w:val="18"/>
        </w:rPr>
        <w:t>However, future events or conditions may cause the Company</w:t>
      </w:r>
      <w:r>
        <w:rPr>
          <w:sz w:val="18"/>
          <w:szCs w:val="18"/>
        </w:rPr>
        <w:t xml:space="preserve"> </w:t>
      </w:r>
      <w:r w:rsidRPr="00F43681">
        <w:rPr>
          <w:sz w:val="18"/>
          <w:szCs w:val="18"/>
        </w:rPr>
        <w:t>to cease to continue as a going concern.</w:t>
      </w:r>
    </w:p>
    <w:p w14:paraId="115AD9FE"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lastRenderedPageBreak/>
        <w:t>Evaluate the overall presentation, structure and content of the financial report, including the disclosures, and whether the financial report represents the underlying transactions and events in a manner that achieves fair presentation.</w:t>
      </w:r>
    </w:p>
    <w:p w14:paraId="6569A722"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communicate with </w:t>
      </w:r>
      <w:r>
        <w:rPr>
          <w:sz w:val="18"/>
          <w:szCs w:val="18"/>
          <w:lang w:eastAsia="en-AU"/>
        </w:rPr>
        <w:t>the directors</w:t>
      </w:r>
      <w:r w:rsidRPr="00F43681">
        <w:rPr>
          <w:sz w:val="18"/>
          <w:szCs w:val="18"/>
          <w:lang w:eastAsia="en-AU"/>
        </w:rPr>
        <w:t xml:space="preserve"> regarding, among other matters, the planned scope and timing of the audit and significant audit findings, including any significant deficiencies in internal control that we identify during our audit.</w:t>
      </w:r>
    </w:p>
    <w:p w14:paraId="213DB698" w14:textId="14402F8D"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also provide </w:t>
      </w:r>
      <w:r>
        <w:rPr>
          <w:sz w:val="18"/>
          <w:szCs w:val="18"/>
          <w:lang w:eastAsia="en-AU"/>
        </w:rPr>
        <w:t>the directors</w:t>
      </w:r>
      <w:r w:rsidRPr="00F43681">
        <w:rPr>
          <w:sz w:val="18"/>
          <w:szCs w:val="18"/>
          <w:lang w:eastAsia="en-AU"/>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7B1136" w:rsidRPr="007B1136">
        <w:rPr>
          <w:sz w:val="18"/>
          <w:szCs w:val="18"/>
          <w:lang w:eastAsia="en-AU"/>
        </w:rPr>
        <w:t>actions taken to eliminate threats or safeguards applied</w:t>
      </w:r>
      <w:r w:rsidRPr="00F43681">
        <w:rPr>
          <w:sz w:val="18"/>
          <w:szCs w:val="18"/>
          <w:lang w:eastAsia="en-AU"/>
        </w:rPr>
        <w:t>.</w:t>
      </w:r>
    </w:p>
    <w:p w14:paraId="5792A6A1" w14:textId="77777777" w:rsidR="009A7882" w:rsidRPr="00F43681" w:rsidRDefault="009A7882" w:rsidP="009A7882">
      <w:pPr>
        <w:shd w:val="clear" w:color="auto" w:fill="BFBFBF" w:themeFill="background1" w:themeFillShade="BF"/>
        <w:autoSpaceDE w:val="0"/>
        <w:autoSpaceDN w:val="0"/>
        <w:adjustRightInd w:val="0"/>
        <w:spacing w:line="240" w:lineRule="auto"/>
        <w:rPr>
          <w:sz w:val="18"/>
          <w:szCs w:val="18"/>
          <w:lang w:eastAsia="en-AU"/>
        </w:rPr>
      </w:pPr>
      <w:r w:rsidRPr="00F43681">
        <w:rPr>
          <w:sz w:val="18"/>
          <w:szCs w:val="18"/>
          <w:lang w:eastAsia="en-AU"/>
        </w:rPr>
        <w:t xml:space="preserve">From the matters communicated with </w:t>
      </w:r>
      <w:r>
        <w:rPr>
          <w:sz w:val="18"/>
          <w:szCs w:val="18"/>
          <w:lang w:eastAsia="en-AU"/>
        </w:rPr>
        <w:t>the directors</w:t>
      </w:r>
      <w:r w:rsidRPr="00F43681">
        <w:rPr>
          <w:sz w:val="18"/>
          <w:szCs w:val="18"/>
          <w:lang w:eastAsia="en-AU"/>
        </w:rPr>
        <w:t xml:space="preserve">, we determine those matters that were of most significance in the audit of the financial </w:t>
      </w:r>
      <w:r>
        <w:rPr>
          <w:sz w:val="18"/>
          <w:szCs w:val="18"/>
          <w:lang w:eastAsia="en-AU"/>
        </w:rPr>
        <w:t>report</w:t>
      </w:r>
      <w:r w:rsidRPr="00F43681">
        <w:rPr>
          <w:sz w:val="18"/>
          <w:szCs w:val="18"/>
          <w:lang w:eastAsia="en-AU"/>
        </w:rPr>
        <w:t xml:space="preserve"> of the current period and are therefore the key audit matters. </w:t>
      </w:r>
      <w:r>
        <w:rPr>
          <w:sz w:val="18"/>
          <w:szCs w:val="18"/>
          <w:lang w:eastAsia="en-AU"/>
        </w:rPr>
        <w:t xml:space="preserve"> </w:t>
      </w:r>
      <w:r w:rsidRPr="00F43681">
        <w:rPr>
          <w:sz w:val="18"/>
          <w:szCs w:val="18"/>
          <w:lang w:eastAsia="en-AU"/>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300F5E48" w14:textId="77777777" w:rsidR="009A7882" w:rsidRPr="00F43681" w:rsidRDefault="009A7882" w:rsidP="009A7882">
      <w:pPr>
        <w:pStyle w:val="Heading6"/>
        <w:spacing w:before="240"/>
        <w:rPr>
          <w:lang w:eastAsia="en-AU"/>
        </w:rPr>
      </w:pPr>
      <w:r w:rsidRPr="00F43681">
        <w:rPr>
          <w:lang w:eastAsia="en-AU"/>
        </w:rPr>
        <w:t>Report on the Remuneration Report</w:t>
      </w:r>
      <w:r w:rsidRPr="00BB5F68">
        <w:rPr>
          <w:rStyle w:val="FootnoteReference"/>
        </w:rPr>
        <w:footnoteReference w:customMarkFollows="1" w:id="3"/>
        <w:t>§</w:t>
      </w:r>
    </w:p>
    <w:p w14:paraId="58A0CA4B" w14:textId="77777777" w:rsidR="009A7882" w:rsidRPr="00F43681" w:rsidRDefault="009A7882" w:rsidP="009A7882">
      <w:pPr>
        <w:pStyle w:val="Heading7"/>
      </w:pPr>
      <w:r w:rsidRPr="00F43681">
        <w:t>Opinion on the Remuneration Report</w:t>
      </w:r>
    </w:p>
    <w:p w14:paraId="2B7D8CCB" w14:textId="77777777" w:rsidR="009A7882" w:rsidRDefault="009A7882" w:rsidP="009A7882">
      <w:pPr>
        <w:pStyle w:val="ParaPlain"/>
        <w:rPr>
          <w:lang w:eastAsia="en-AU"/>
        </w:rPr>
      </w:pPr>
      <w:r w:rsidRPr="00F43681">
        <w:rPr>
          <w:lang w:eastAsia="en-AU"/>
        </w:rPr>
        <w:t xml:space="preserve">We have audited the Remuneration Report included in [paragraphs a to b or pages x to y] of the directors’ report for the year ended 30 June 20X1. </w:t>
      </w:r>
    </w:p>
    <w:p w14:paraId="0A8F10A8" w14:textId="5A73A09F" w:rsidR="009A7882" w:rsidRDefault="009A7882" w:rsidP="009A7882">
      <w:pPr>
        <w:pStyle w:val="ParaPlain"/>
      </w:pPr>
      <w:r w:rsidRPr="00F43681">
        <w:t xml:space="preserve">In our opinion, the Remuneration Report of ABC Company Ltd., for the year [period] ended 30 June 20X1, complies with section 300A of the </w:t>
      </w:r>
      <w:r w:rsidR="00BB5F68">
        <w:rPr>
          <w:i/>
        </w:rPr>
        <w:t>Corporations Act 2001</w:t>
      </w:r>
      <w:r w:rsidRPr="00F43681">
        <w:t>.</w:t>
      </w:r>
    </w:p>
    <w:p w14:paraId="2D7EA665" w14:textId="77777777" w:rsidR="009A7882" w:rsidRDefault="009A7882" w:rsidP="009A7882">
      <w:pPr>
        <w:pStyle w:val="Heading7"/>
        <w:rPr>
          <w:lang w:eastAsia="en-AU"/>
        </w:rPr>
      </w:pPr>
      <w:r>
        <w:rPr>
          <w:lang w:eastAsia="en-AU"/>
        </w:rPr>
        <w:t>Responsibilities</w:t>
      </w:r>
    </w:p>
    <w:p w14:paraId="6EC22E5B" w14:textId="2ECA938E" w:rsidR="009A7882" w:rsidRPr="00F43681" w:rsidRDefault="009A7882" w:rsidP="009A7882">
      <w:pPr>
        <w:pStyle w:val="ParaPlain"/>
        <w:rPr>
          <w:lang w:eastAsia="en-AU"/>
        </w:rPr>
      </w:pPr>
      <w:r w:rsidRPr="00F43681">
        <w:rPr>
          <w:lang w:eastAsia="en-AU"/>
        </w:rPr>
        <w:t xml:space="preserve">The directors of the Company are responsible for the preparation and presentation of the Remuneration Report in accordance with section 300A of the </w:t>
      </w:r>
      <w:r w:rsidR="00BB5F68">
        <w:rPr>
          <w:i/>
          <w:lang w:eastAsia="en-AU"/>
        </w:rPr>
        <w:t>Corporations Act 2001</w:t>
      </w:r>
      <w:r w:rsidRPr="00F43681">
        <w:rPr>
          <w:lang w:eastAsia="en-AU"/>
        </w:rPr>
        <w:t>.  Our responsibility is to express an opinion on the Remuneration Report, based on our audit conducted in accordance with Australian Auditing Standards.</w:t>
      </w:r>
    </w:p>
    <w:p w14:paraId="2A7945B5" w14:textId="77777777" w:rsidR="009A7882" w:rsidRPr="00F43681" w:rsidRDefault="009A7882" w:rsidP="009A7882">
      <w:pPr>
        <w:spacing w:after="200"/>
        <w:rPr>
          <w:szCs w:val="24"/>
          <w:lang w:eastAsia="en-AU"/>
        </w:rPr>
      </w:pPr>
      <w:r w:rsidRPr="00F43681">
        <w:rPr>
          <w:szCs w:val="24"/>
          <w:lang w:eastAsia="en-AU"/>
        </w:rPr>
        <w:t>[</w:t>
      </w:r>
      <w:r w:rsidRPr="000A5848">
        <w:rPr>
          <w:i/>
          <w:szCs w:val="24"/>
          <w:lang w:eastAsia="en-AU"/>
        </w:rPr>
        <w:t>Auditor’s name and signature</w:t>
      </w:r>
      <w:r w:rsidRPr="000A5848">
        <w:rPr>
          <w:szCs w:val="24"/>
          <w:lang w:eastAsia="en-AU"/>
        </w:rPr>
        <w:t>]</w:t>
      </w:r>
      <w:r w:rsidRPr="00BB5F68">
        <w:rPr>
          <w:rStyle w:val="FootnoteReference"/>
        </w:rPr>
        <w:footnoteReference w:customMarkFollows="1" w:id="4"/>
        <w:t>*</w:t>
      </w:r>
    </w:p>
    <w:p w14:paraId="0973F2EB" w14:textId="77777777" w:rsidR="009A7882" w:rsidRPr="00EA521F" w:rsidRDefault="009A7882" w:rsidP="009A7882">
      <w:pPr>
        <w:spacing w:after="200"/>
        <w:rPr>
          <w:szCs w:val="24"/>
          <w:lang w:eastAsia="en-AU"/>
        </w:rPr>
      </w:pPr>
      <w:r w:rsidRPr="003B3141">
        <w:rPr>
          <w:szCs w:val="24"/>
          <w:lang w:eastAsia="en-AU"/>
        </w:rPr>
        <w:t>[</w:t>
      </w:r>
      <w:r w:rsidRPr="003B3141">
        <w:rPr>
          <w:i/>
          <w:szCs w:val="24"/>
          <w:lang w:eastAsia="en-AU"/>
        </w:rPr>
        <w:t>Nam</w:t>
      </w:r>
      <w:r w:rsidRPr="009835EE">
        <w:rPr>
          <w:i/>
          <w:szCs w:val="24"/>
          <w:lang w:eastAsia="en-AU"/>
        </w:rPr>
        <w:t>e of Firm</w:t>
      </w:r>
      <w:r w:rsidRPr="003B3141">
        <w:rPr>
          <w:szCs w:val="24"/>
          <w:lang w:eastAsia="en-AU"/>
        </w:rPr>
        <w:t>]</w:t>
      </w:r>
    </w:p>
    <w:p w14:paraId="24A60B59" w14:textId="77777777" w:rsidR="001C2921" w:rsidRDefault="009A7882" w:rsidP="00A80FF2">
      <w:pPr>
        <w:spacing w:after="200"/>
      </w:pPr>
      <w:r w:rsidRPr="00F43681">
        <w:rPr>
          <w:szCs w:val="24"/>
          <w:lang w:eastAsia="en-AU"/>
        </w:rPr>
        <w:t>[</w:t>
      </w:r>
      <w:r w:rsidRPr="00F43681">
        <w:rPr>
          <w:i/>
          <w:szCs w:val="24"/>
          <w:lang w:eastAsia="en-AU"/>
        </w:rPr>
        <w:t>Date of the auditor’s report</w:t>
      </w:r>
      <w:r w:rsidRPr="00F43681">
        <w:rPr>
          <w:szCs w:val="24"/>
          <w:lang w:eastAsia="en-AU"/>
        </w:rPr>
        <w:t>]</w:t>
      </w:r>
      <w:r w:rsidR="001C2921" w:rsidRPr="00BB5F68">
        <w:rPr>
          <w:rStyle w:val="FootnoteReference"/>
        </w:rPr>
        <w:footnoteReference w:customMarkFollows="1" w:id="5"/>
        <w:t>#</w:t>
      </w:r>
    </w:p>
    <w:p w14:paraId="2E4060C5" w14:textId="77777777" w:rsidR="009A7882" w:rsidRPr="00F43681"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76CD307E" w14:textId="77777777" w:rsidR="009A7882" w:rsidRDefault="009A7882" w:rsidP="009A7882">
      <w:pPr>
        <w:spacing w:line="240" w:lineRule="auto"/>
      </w:pPr>
      <w:r>
        <w:br w:type="page"/>
      </w:r>
    </w:p>
    <w:p w14:paraId="38CA4431" w14:textId="7B7CE320" w:rsidR="009A7882" w:rsidRPr="001A2859" w:rsidRDefault="009A7882" w:rsidP="009A7882">
      <w:pPr>
        <w:keepNext/>
        <w:spacing w:after="200" w:line="260" w:lineRule="exact"/>
        <w:jc w:val="center"/>
        <w:outlineLvl w:val="4"/>
        <w:rPr>
          <w:rFonts w:cs="Arial"/>
          <w:b/>
          <w:bCs/>
          <w:sz w:val="26"/>
          <w:szCs w:val="26"/>
        </w:rPr>
      </w:pPr>
      <w:r w:rsidRPr="001A2859">
        <w:rPr>
          <w:rFonts w:cs="Arial"/>
          <w:b/>
          <w:bCs/>
          <w:sz w:val="26"/>
          <w:szCs w:val="26"/>
        </w:rPr>
        <w:lastRenderedPageBreak/>
        <w:t>Example Auditor’s Report</w:t>
      </w:r>
      <w:r w:rsidRPr="001A2859">
        <w:rPr>
          <w:rFonts w:cs="Arial"/>
          <w:b/>
          <w:bCs/>
          <w:sz w:val="26"/>
          <w:szCs w:val="26"/>
        </w:rPr>
        <w:br/>
      </w:r>
      <w:r w:rsidRPr="003B3141">
        <w:rPr>
          <w:rFonts w:cs="Arial"/>
          <w:b/>
          <w:bCs/>
          <w:sz w:val="26"/>
          <w:szCs w:val="26"/>
        </w:rPr>
        <w:t>Gro</w:t>
      </w:r>
      <w:r w:rsidRPr="00DD51F4">
        <w:rPr>
          <w:rFonts w:cs="Arial"/>
          <w:b/>
          <w:bCs/>
          <w:sz w:val="26"/>
          <w:szCs w:val="26"/>
        </w:rPr>
        <w:t>up</w:t>
      </w:r>
      <w:r>
        <w:rPr>
          <w:rFonts w:cs="Arial"/>
          <w:b/>
          <w:bCs/>
          <w:sz w:val="26"/>
          <w:szCs w:val="26"/>
        </w:rPr>
        <w:t xml:space="preserve"> Entity</w:t>
      </w:r>
      <w:r w:rsidRPr="001A2859">
        <w:rPr>
          <w:rFonts w:cs="Arial"/>
          <w:b/>
          <w:bCs/>
          <w:sz w:val="26"/>
          <w:szCs w:val="26"/>
        </w:rPr>
        <w:t>—</w:t>
      </w:r>
      <w:r w:rsidR="00BB5F68">
        <w:rPr>
          <w:rFonts w:cs="Arial"/>
          <w:b/>
          <w:bCs/>
          <w:i/>
          <w:sz w:val="26"/>
          <w:szCs w:val="26"/>
        </w:rPr>
        <w:t>Corporations Act 2001</w:t>
      </w:r>
      <w:r w:rsidRPr="001A2859">
        <w:rPr>
          <w:rFonts w:cs="Arial"/>
          <w:b/>
          <w:bCs/>
          <w:sz w:val="26"/>
          <w:szCs w:val="26"/>
        </w:rPr>
        <w:br/>
        <w:t>(Fair Presentation Framework)</w:t>
      </w:r>
    </w:p>
    <w:p w14:paraId="42A6CD5D" w14:textId="77777777" w:rsidR="009A7882" w:rsidRPr="001A2859" w:rsidRDefault="009A7882" w:rsidP="009A7882">
      <w:pPr>
        <w:pBdr>
          <w:top w:val="single" w:sz="4" w:space="1" w:color="auto"/>
          <w:left w:val="single" w:sz="4" w:space="4" w:color="auto"/>
          <w:bottom w:val="single" w:sz="4" w:space="1" w:color="auto"/>
          <w:right w:val="single" w:sz="4" w:space="4" w:color="auto"/>
        </w:pBdr>
        <w:rPr>
          <w:szCs w:val="24"/>
        </w:rPr>
      </w:pPr>
    </w:p>
    <w:p w14:paraId="14214028" w14:textId="77777777" w:rsidR="009A7882" w:rsidRPr="001A2859"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1A2859">
        <w:rPr>
          <w:szCs w:val="24"/>
        </w:rPr>
        <w:t>[</w:t>
      </w:r>
      <w:proofErr w:type="spellStart"/>
      <w:r w:rsidRPr="001A2859">
        <w:rPr>
          <w:szCs w:val="24"/>
        </w:rPr>
        <w:t>Aus</w:t>
      </w:r>
      <w:proofErr w:type="spellEnd"/>
      <w:r w:rsidRPr="001A2859">
        <w:rPr>
          <w:szCs w:val="24"/>
        </w:rPr>
        <w:t>] Illustration 2A:</w:t>
      </w:r>
    </w:p>
    <w:p w14:paraId="5AA6EA10" w14:textId="77777777" w:rsidR="009A7882" w:rsidRPr="001A2859"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1A2859">
        <w:rPr>
          <w:szCs w:val="24"/>
        </w:rPr>
        <w:t>For purposes of this illustrative auditor’s report, the following circumstances are assumed:</w:t>
      </w:r>
    </w:p>
    <w:p w14:paraId="506E561B" w14:textId="77777777" w:rsidR="009A7882" w:rsidRPr="001A2859"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1A2859">
        <w:t xml:space="preserve">Audit of the </w:t>
      </w:r>
      <w:r>
        <w:t>financial</w:t>
      </w:r>
      <w:r w:rsidRPr="001A2859">
        <w:t xml:space="preserve"> report of a listed company</w:t>
      </w:r>
      <w:r>
        <w:t xml:space="preserve"> </w:t>
      </w:r>
      <w:r w:rsidRPr="00DD51F4">
        <w:t>and its subsidiaries (the Group).</w:t>
      </w:r>
      <w:r w:rsidRPr="001A2859">
        <w:t xml:space="preserve">  The audit is a group audit (i.e. ASA 600 applies).</w:t>
      </w:r>
    </w:p>
    <w:p w14:paraId="33EA3209" w14:textId="1AC96C6C"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1A2859">
        <w:t xml:space="preserve">The financial report is prepared by the directors of the </w:t>
      </w:r>
      <w:r w:rsidRPr="003B3141">
        <w:t>company</w:t>
      </w:r>
      <w:r>
        <w:t xml:space="preserve"> </w:t>
      </w:r>
      <w:r w:rsidRPr="001A2859">
        <w:t xml:space="preserve">in accordance with Australian Accounting Standards (a general purpose framework) and under the </w:t>
      </w:r>
      <w:r w:rsidR="00BB5F68">
        <w:rPr>
          <w:i/>
        </w:rPr>
        <w:t>Corporations Act 2001</w:t>
      </w:r>
      <w:r w:rsidRPr="001A2859">
        <w:t>.  The directors have elected to report only the consolidated financial position and financial results</w:t>
      </w:r>
      <w:r>
        <w:t xml:space="preserve"> in the primary financial statements.</w:t>
      </w:r>
    </w:p>
    <w:p w14:paraId="3A8E5026"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terms of the audit engagement reflect the description of </w:t>
      </w:r>
      <w:r>
        <w:t xml:space="preserve">the directors’ </w:t>
      </w:r>
      <w:r w:rsidRPr="002D0861">
        <w:t>responsibility for the financial report in ASA</w:t>
      </w:r>
      <w:r>
        <w:t> </w:t>
      </w:r>
      <w:r w:rsidRPr="002D0861">
        <w:t>210.</w:t>
      </w:r>
    </w:p>
    <w:p w14:paraId="00A58339"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The auditor has concluded an unmodified (i.e. “clean”) opinion is appropriate based on the audit evidence obtained.</w:t>
      </w:r>
    </w:p>
    <w:p w14:paraId="68A7C4C5" w14:textId="7D6CEEB3"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A46A84">
        <w:t xml:space="preserve">The </w:t>
      </w:r>
      <w:r>
        <w:t>relevant ethical requirements that apply to the audit are the Accounting</w:t>
      </w:r>
      <w:r w:rsidRPr="00A46A84">
        <w:t xml:space="preserve"> Professional </w:t>
      </w:r>
      <w:r w:rsidR="007B1136">
        <w:t>&amp;</w:t>
      </w:r>
      <w:r w:rsidR="007B1136" w:rsidRPr="00A46A84">
        <w:t xml:space="preserve"> </w:t>
      </w:r>
      <w:r w:rsidRPr="00A46A84">
        <w:t xml:space="preserve">Ethical Standards Board’s APES 110 </w:t>
      </w:r>
      <w:r w:rsidRPr="00A46A84">
        <w:rPr>
          <w:i/>
        </w:rPr>
        <w:t>Code of Ethics for Professional Accountants</w:t>
      </w:r>
      <w:r w:rsidR="007B1136">
        <w:rPr>
          <w:i/>
        </w:rPr>
        <w:t xml:space="preserve"> </w:t>
      </w:r>
      <w:r w:rsidR="007B1136" w:rsidRPr="007B1136">
        <w:rPr>
          <w:i/>
        </w:rPr>
        <w:t>(including Independence Standards)</w:t>
      </w:r>
      <w:r w:rsidRPr="00A46A84">
        <w:t>.</w:t>
      </w:r>
    </w:p>
    <w:p w14:paraId="0734BA13"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Based on the audit evidence obtained, the auditor has concluded that a material uncertainty does not exist related to events or conditions that may cast significant doubt on </w:t>
      </w:r>
      <w:r w:rsidRPr="00DD51F4">
        <w:t xml:space="preserve">the </w:t>
      </w:r>
      <w:r w:rsidRPr="003B3141">
        <w:t>Group’s</w:t>
      </w:r>
      <w:r>
        <w:t xml:space="preserve"> </w:t>
      </w:r>
      <w:r w:rsidRPr="002D0861">
        <w:t>ability</w:t>
      </w:r>
      <w:r>
        <w:t xml:space="preserve"> </w:t>
      </w:r>
      <w:r w:rsidRPr="002D0861">
        <w:t>to continue as a going concern in accordance with ASA</w:t>
      </w:r>
      <w:r>
        <w:t> </w:t>
      </w:r>
      <w:r w:rsidRPr="002D0861">
        <w:t>570</w:t>
      </w:r>
      <w:r>
        <w:t>.</w:t>
      </w:r>
    </w:p>
    <w:p w14:paraId="0CD31730"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Key audit matters have been communicated in accordance with ASA</w:t>
      </w:r>
      <w:r>
        <w:t> </w:t>
      </w:r>
      <w:r w:rsidRPr="002D0861">
        <w:t>701.</w:t>
      </w:r>
    </w:p>
    <w:p w14:paraId="192D4D54"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The auditor has obtained all of the other information prior to the date of the auditor’s report and has not identified a material misstatement of the other information.</w:t>
      </w:r>
    </w:p>
    <w:p w14:paraId="79FC4E87" w14:textId="3B929A34"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spacing w:after="0"/>
      </w:pPr>
      <w:r w:rsidRPr="002D0861">
        <w:t>In addition to the audit of the financial report, the auditor has other reporting responsibilities required under section</w:t>
      </w:r>
      <w:r>
        <w:t> </w:t>
      </w:r>
      <w:r w:rsidRPr="002D0861">
        <w:t xml:space="preserve">308(3C) of the </w:t>
      </w:r>
      <w:r w:rsidR="00BB5F68">
        <w:rPr>
          <w:i/>
        </w:rPr>
        <w:t>Corporations Act 2001</w:t>
      </w:r>
      <w:r w:rsidRPr="002D0861">
        <w:t xml:space="preserve">. </w:t>
      </w:r>
      <w:r w:rsidRPr="00A12248">
        <w:rPr>
          <w:rStyle w:val="RefParas"/>
        </w:rPr>
        <w:t>(</w:t>
      </w:r>
      <w:r w:rsidR="00BB5F68">
        <w:rPr>
          <w:rStyle w:val="RefParas"/>
        </w:rPr>
        <w:t>Ref: Para. </w:t>
      </w:r>
      <w:r w:rsidRPr="003B3141">
        <w:rPr>
          <w:rStyle w:val="RefParas"/>
        </w:rPr>
        <w:t>4</w:t>
      </w:r>
      <w:r w:rsidR="001C2921" w:rsidRPr="007B2A79">
        <w:rPr>
          <w:rStyle w:val="RefParas"/>
        </w:rPr>
        <w:t>3</w:t>
      </w:r>
      <w:r w:rsidR="001C2921">
        <w:rPr>
          <w:rStyle w:val="RefParas"/>
        </w:rPr>
        <w:noBreakHyphen/>
      </w:r>
      <w:r w:rsidR="001C2921" w:rsidRPr="007B2A79">
        <w:rPr>
          <w:rStyle w:val="RefParas"/>
        </w:rPr>
        <w:t>4</w:t>
      </w:r>
      <w:r w:rsidRPr="007B2A79">
        <w:rPr>
          <w:rStyle w:val="RefParas"/>
        </w:rPr>
        <w:t>5)</w:t>
      </w:r>
    </w:p>
    <w:p w14:paraId="5F5D8807" w14:textId="77777777" w:rsidR="009A7882" w:rsidRDefault="009A7882" w:rsidP="009A7882">
      <w:pPr>
        <w:pBdr>
          <w:top w:val="single" w:sz="4" w:space="1" w:color="auto"/>
          <w:left w:val="single" w:sz="4" w:space="4" w:color="auto"/>
          <w:bottom w:val="single" w:sz="4" w:space="1" w:color="auto"/>
          <w:right w:val="single" w:sz="4" w:space="4" w:color="auto"/>
        </w:pBdr>
        <w:spacing w:after="200"/>
        <w:rPr>
          <w:szCs w:val="24"/>
        </w:rPr>
      </w:pPr>
    </w:p>
    <w:p w14:paraId="22385F78" w14:textId="77777777" w:rsidR="009A7882" w:rsidRPr="00F43681" w:rsidRDefault="009A7882" w:rsidP="009A7882">
      <w:pPr>
        <w:spacing w:after="200"/>
        <w:rPr>
          <w:szCs w:val="24"/>
        </w:rPr>
      </w:pPr>
      <w:r w:rsidRPr="00F43681">
        <w:rPr>
          <w:szCs w:val="24"/>
        </w:rPr>
        <w:t>INDEPENDENT AUDITOR’S REPORT</w:t>
      </w:r>
    </w:p>
    <w:p w14:paraId="67B339C9" w14:textId="77777777" w:rsidR="009A7882" w:rsidRPr="00F43681" w:rsidRDefault="009A7882" w:rsidP="009A7882">
      <w:pPr>
        <w:spacing w:after="200"/>
        <w:rPr>
          <w:szCs w:val="24"/>
        </w:rPr>
      </w:pPr>
      <w:r w:rsidRPr="00F43681">
        <w:rPr>
          <w:szCs w:val="24"/>
        </w:rPr>
        <w:t>[Appropriate Addressee]</w:t>
      </w:r>
    </w:p>
    <w:p w14:paraId="61BCC0E3" w14:textId="77777777" w:rsidR="009A7882" w:rsidRPr="00F43681" w:rsidRDefault="009A7882" w:rsidP="009A7882">
      <w:pPr>
        <w:pStyle w:val="Heading6"/>
      </w:pPr>
      <w:r w:rsidRPr="00F43681">
        <w:t>Report on the Audit of the Financial Report</w:t>
      </w:r>
      <w:r w:rsidRPr="00BB5F68">
        <w:rPr>
          <w:rStyle w:val="FootnoteReference"/>
        </w:rPr>
        <w:footnoteReference w:customMarkFollows="1" w:id="6"/>
        <w:t>#</w:t>
      </w:r>
    </w:p>
    <w:p w14:paraId="2140C1BF" w14:textId="77777777" w:rsidR="009A7882" w:rsidRPr="00F43681" w:rsidRDefault="009A7882" w:rsidP="009A7882">
      <w:pPr>
        <w:pStyle w:val="Heading6"/>
      </w:pPr>
      <w:r w:rsidRPr="00F43681">
        <w:t>Opinion</w:t>
      </w:r>
    </w:p>
    <w:p w14:paraId="4C558AD6" w14:textId="77777777" w:rsidR="009A7882" w:rsidRDefault="009A7882" w:rsidP="009A7882">
      <w:pPr>
        <w:spacing w:after="200"/>
      </w:pPr>
      <w:r w:rsidRPr="00F43681">
        <w:t xml:space="preserve">We have audited the financial report of ABC Company Ltd. (the </w:t>
      </w:r>
      <w:r w:rsidRPr="00786B40">
        <w:t>Company</w:t>
      </w:r>
      <w:r>
        <w:t xml:space="preserve"> </w:t>
      </w:r>
      <w:r w:rsidRPr="003B3141">
        <w:t>and</w:t>
      </w:r>
      <w:r w:rsidRPr="00786B40">
        <w:t xml:space="preserve"> its</w:t>
      </w:r>
      <w:r>
        <w:t xml:space="preserve"> </w:t>
      </w:r>
      <w:r w:rsidRPr="000441E5">
        <w:t>subsidiaries (</w:t>
      </w:r>
      <w:r w:rsidRPr="003B3141">
        <w:t>the Group</w:t>
      </w:r>
      <w:r w:rsidRPr="000441E5">
        <w:t>), which comprises the consolidated statement of financial position as at 30 Jun</w:t>
      </w:r>
      <w:r>
        <w:t>e </w:t>
      </w:r>
      <w:r w:rsidRPr="000441E5">
        <w:t xml:space="preserve">20X1, the consolidated statement of comprehensive income, the consolidated statement of changes in equity and the consolidated statement of cash flows for the year then ended, </w:t>
      </w:r>
      <w:r w:rsidRPr="003B3141">
        <w:t>and</w:t>
      </w:r>
      <w:r w:rsidRPr="000441E5">
        <w:t xml:space="preserve"> notes </w:t>
      </w:r>
      <w:r w:rsidRPr="003B3141">
        <w:t>to the financial statements, including</w:t>
      </w:r>
      <w:r w:rsidRPr="000441E5">
        <w:t xml:space="preserve"> a summary of significant accounting policies, and the directors’ declaration.</w:t>
      </w:r>
    </w:p>
    <w:p w14:paraId="08BC1467" w14:textId="47A81156" w:rsidR="009A7882" w:rsidRPr="002A580D" w:rsidRDefault="009A7882" w:rsidP="009A7882">
      <w:pPr>
        <w:pStyle w:val="ParaPlain"/>
      </w:pPr>
      <w:r w:rsidRPr="00F43681">
        <w:lastRenderedPageBreak/>
        <w:t>In our opinion</w:t>
      </w:r>
      <w:r>
        <w:t xml:space="preserve">, </w:t>
      </w:r>
      <w:r w:rsidRPr="002A580D">
        <w:t xml:space="preserve">the accompanying financial report </w:t>
      </w:r>
      <w:r w:rsidRPr="000441E5">
        <w:t xml:space="preserve">of </w:t>
      </w:r>
      <w:r w:rsidRPr="003B3141">
        <w:t>the Group</w:t>
      </w:r>
      <w:r w:rsidRPr="002A580D">
        <w:t xml:space="preserve"> is in accordance with the </w:t>
      </w:r>
      <w:r w:rsidR="00BB5F68">
        <w:rPr>
          <w:i/>
        </w:rPr>
        <w:t>Corporations Act 2001</w:t>
      </w:r>
      <w:r w:rsidRPr="002A580D">
        <w:t>, including:</w:t>
      </w:r>
    </w:p>
    <w:p w14:paraId="32677309" w14:textId="77777777" w:rsidR="009A7882" w:rsidRPr="001C0DAE" w:rsidRDefault="009A7882" w:rsidP="009A7882">
      <w:pPr>
        <w:pStyle w:val="ParaLevel3"/>
        <w:numPr>
          <w:ilvl w:val="2"/>
          <w:numId w:val="43"/>
        </w:numPr>
        <w:tabs>
          <w:tab w:val="clear" w:pos="2127"/>
        </w:tabs>
        <w:ind w:left="709"/>
      </w:pPr>
      <w:r w:rsidRPr="001C0DAE">
        <w:t xml:space="preserve">giving a true and fair view of the </w:t>
      </w:r>
      <w:r w:rsidRPr="003B3141">
        <w:t xml:space="preserve">Group’s </w:t>
      </w:r>
      <w:r w:rsidRPr="001C0DAE">
        <w:t xml:space="preserve">financial position as at 30 June 20X1 and of </w:t>
      </w:r>
      <w:r w:rsidRPr="003B3141">
        <w:t xml:space="preserve">its </w:t>
      </w:r>
      <w:r w:rsidRPr="001C0DAE">
        <w:t xml:space="preserve">financial performance for the year </w:t>
      </w:r>
      <w:r>
        <w:t xml:space="preserve">then </w:t>
      </w:r>
      <w:r w:rsidRPr="001C0DAE">
        <w:t>ended; and</w:t>
      </w:r>
    </w:p>
    <w:p w14:paraId="45B4DBEA" w14:textId="77777777" w:rsidR="009A7882" w:rsidRPr="001C0DAE" w:rsidRDefault="009A7882" w:rsidP="009A7882">
      <w:pPr>
        <w:pStyle w:val="ParaLevel3"/>
        <w:numPr>
          <w:ilvl w:val="2"/>
          <w:numId w:val="43"/>
        </w:numPr>
        <w:tabs>
          <w:tab w:val="clear" w:pos="2127"/>
        </w:tabs>
        <w:ind w:left="709"/>
      </w:pPr>
      <w:r w:rsidRPr="001C0DAE">
        <w:t xml:space="preserve">complying with Australian Accounting Standards and the </w:t>
      </w:r>
      <w:r w:rsidRPr="001C0DAE">
        <w:rPr>
          <w:i/>
        </w:rPr>
        <w:t>Corporations Regulations 2001</w:t>
      </w:r>
      <w:r w:rsidRPr="001C0DAE">
        <w:t>.</w:t>
      </w:r>
    </w:p>
    <w:p w14:paraId="466569F6" w14:textId="77777777" w:rsidR="009A7882" w:rsidRPr="001C0DAE" w:rsidRDefault="009A7882" w:rsidP="009A7882">
      <w:pPr>
        <w:pStyle w:val="Heading6"/>
      </w:pPr>
      <w:r w:rsidRPr="001C0DAE">
        <w:t>Basis for Opinion</w:t>
      </w:r>
    </w:p>
    <w:p w14:paraId="3B9EE6EC" w14:textId="570E539B" w:rsidR="009A7882" w:rsidRPr="00F43681" w:rsidRDefault="009A7882" w:rsidP="009A7882">
      <w:pPr>
        <w:pStyle w:val="ParaPlain"/>
      </w:pPr>
      <w:r w:rsidRPr="001C0DAE">
        <w:t xml:space="preserve">We conducted our audit in accordance with Australian Auditing Standards.  Our responsibilities under those standards are further described in the </w:t>
      </w:r>
      <w:r w:rsidRPr="001C0DAE">
        <w:rPr>
          <w:i/>
        </w:rPr>
        <w:t>Auditor’s Responsibilities for the Audit of the Financial Report</w:t>
      </w:r>
      <w:r w:rsidRPr="001C0DAE">
        <w:t xml:space="preserve"> section of our report.  We are independent of </w:t>
      </w:r>
      <w:r w:rsidRPr="002C0E39">
        <w:t>the Group in accordance</w:t>
      </w:r>
      <w:r w:rsidRPr="00410F78">
        <w:t xml:space="preserve"> with the</w:t>
      </w:r>
      <w:r>
        <w:t xml:space="preserve"> auditor independence requirements of the </w:t>
      </w:r>
      <w:r w:rsidR="00BB5F68">
        <w:rPr>
          <w:i/>
        </w:rPr>
        <w:t>Corporations Act 2001</w:t>
      </w:r>
      <w:r w:rsidRPr="00410F78">
        <w:t xml:space="preserve"> and the ethical requirements </w:t>
      </w:r>
      <w:r>
        <w:t xml:space="preserve">of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rPr>
          <w:i/>
        </w:rPr>
        <w:t xml:space="preserve"> </w:t>
      </w:r>
      <w:r>
        <w:t xml:space="preserve">(the Code) </w:t>
      </w:r>
      <w:r w:rsidRPr="00410F78">
        <w:t>that are relevant to our audit of the financial report in Australia</w:t>
      </w:r>
      <w:r>
        <w:t>.  W</w:t>
      </w:r>
      <w:r w:rsidRPr="00410F78">
        <w:t xml:space="preserve">e have </w:t>
      </w:r>
      <w:r>
        <w:t xml:space="preserve">also </w:t>
      </w:r>
      <w:r w:rsidRPr="00410F78">
        <w:t xml:space="preserve">fulfilled our other ethical responsibilities in accordance with the </w:t>
      </w:r>
      <w:r>
        <w:t>Code</w:t>
      </w:r>
      <w:r w:rsidRPr="00410F78">
        <w:t>.</w:t>
      </w:r>
      <w:r w:rsidRPr="00F43681">
        <w:t xml:space="preserve"> </w:t>
      </w:r>
    </w:p>
    <w:p w14:paraId="5A0DBC6E" w14:textId="561C8B0B" w:rsidR="009A7882" w:rsidRPr="00F43681" w:rsidRDefault="009A7882" w:rsidP="009A7882">
      <w:pPr>
        <w:pStyle w:val="ParaPlain"/>
      </w:pPr>
      <w:r w:rsidRPr="00F43681">
        <w:t xml:space="preserve">We confirm that the independence declaration required by the </w:t>
      </w:r>
      <w:r w:rsidR="00BB5F68">
        <w:rPr>
          <w:i/>
        </w:rPr>
        <w:t>Corporations Act 2001</w:t>
      </w:r>
      <w:r w:rsidRPr="00F43681">
        <w:t xml:space="preserve">, which has been given to the directors </w:t>
      </w:r>
      <w:r w:rsidRPr="002C0E39">
        <w:t xml:space="preserve">of </w:t>
      </w:r>
      <w:r w:rsidRPr="003B3141">
        <w:t>the Company</w:t>
      </w:r>
      <w:r w:rsidRPr="00F43681">
        <w:t>, would be in the same terms if given to the directors as at the time of this auditor’s report.</w:t>
      </w:r>
      <w:r w:rsidRPr="00BB5F68">
        <w:rPr>
          <w:rStyle w:val="FootnoteReference"/>
        </w:rPr>
        <w:footnoteReference w:customMarkFollows="1" w:id="7"/>
        <w:sym w:font="Symbol" w:char="F02A"/>
      </w:r>
    </w:p>
    <w:p w14:paraId="5C02B9DA" w14:textId="77777777" w:rsidR="009A7882" w:rsidRPr="00F43681" w:rsidRDefault="009A7882" w:rsidP="009A7882">
      <w:pPr>
        <w:pStyle w:val="ParaPlain"/>
      </w:pPr>
      <w:r w:rsidRPr="00F43681">
        <w:t>We believe that the audit evidence we have obtained is sufficient and appropriate to provide a basis for our opinion.</w:t>
      </w:r>
    </w:p>
    <w:p w14:paraId="6FA0BDA1" w14:textId="77777777" w:rsidR="009A7882" w:rsidRPr="00F43681" w:rsidRDefault="009A7882" w:rsidP="009A7882">
      <w:pPr>
        <w:pStyle w:val="Heading6"/>
      </w:pPr>
      <w:r w:rsidRPr="00F43681">
        <w:t>Key Audit Matters</w:t>
      </w:r>
    </w:p>
    <w:p w14:paraId="0497B6BD" w14:textId="77777777" w:rsidR="009A7882" w:rsidRPr="00F43681" w:rsidRDefault="009A7882" w:rsidP="009A7882">
      <w:pPr>
        <w:pStyle w:val="ParaPlain"/>
      </w:pPr>
      <w:r w:rsidRPr="00F43681">
        <w:t xml:space="preserve">Key audit matters are those matters that, in our professional judgement, were of most significance in our audit of the financial report of the current period. </w:t>
      </w:r>
      <w:r>
        <w:t xml:space="preserve"> </w:t>
      </w:r>
      <w:r w:rsidRPr="00F43681">
        <w:t>These matters were addressed in the context of our audit of the financial report as a whole, and in forming our opinion thereon, and we do not provide a separate opinion on these matters.</w:t>
      </w:r>
    </w:p>
    <w:p w14:paraId="4B4A1DD7" w14:textId="77777777" w:rsidR="009A7882" w:rsidRPr="00F43681" w:rsidRDefault="009A7882" w:rsidP="009A7882">
      <w:pPr>
        <w:spacing w:after="200"/>
        <w:rPr>
          <w:szCs w:val="24"/>
        </w:rPr>
      </w:pPr>
      <w:r w:rsidRPr="00F43681">
        <w:rPr>
          <w:szCs w:val="24"/>
        </w:rPr>
        <w:t>[</w:t>
      </w:r>
      <w:r w:rsidRPr="00F43681">
        <w:rPr>
          <w:i/>
          <w:szCs w:val="24"/>
        </w:rPr>
        <w:t>Description of each key audit matter in accordance with ASA</w:t>
      </w:r>
      <w:r>
        <w:rPr>
          <w:i/>
          <w:szCs w:val="24"/>
        </w:rPr>
        <w:t> </w:t>
      </w:r>
      <w:r w:rsidRPr="00F43681">
        <w:rPr>
          <w:i/>
          <w:szCs w:val="24"/>
        </w:rPr>
        <w:t>701.</w:t>
      </w:r>
      <w:r w:rsidRPr="00F43681">
        <w:rPr>
          <w:szCs w:val="24"/>
        </w:rPr>
        <w:t>]</w:t>
      </w:r>
    </w:p>
    <w:p w14:paraId="7567AF3F" w14:textId="77777777" w:rsidR="009A7882" w:rsidRDefault="009A7882" w:rsidP="009A7882">
      <w:pPr>
        <w:pStyle w:val="Heading6"/>
      </w:pPr>
      <w:r>
        <w:t xml:space="preserve">Other </w:t>
      </w:r>
      <w:r w:rsidRPr="002C0E39">
        <w:t xml:space="preserve">Information </w:t>
      </w:r>
      <w:r w:rsidRPr="003B3141">
        <w:t>[or another title if appropriate such as “Information Other than the Financial Report and Auditor’s Report Thereon”]</w:t>
      </w:r>
    </w:p>
    <w:p w14:paraId="25BB048A" w14:textId="77777777" w:rsidR="009A7882" w:rsidRPr="003B3141" w:rsidRDefault="009A7882" w:rsidP="009A7882">
      <w:pPr>
        <w:spacing w:after="200"/>
        <w:outlineLvl w:val="0"/>
        <w:rPr>
          <w:rFonts w:eastAsia="Calibri"/>
          <w:i/>
        </w:rPr>
      </w:pPr>
      <w:r w:rsidRPr="003B3141">
        <w:rPr>
          <w:rFonts w:eastAsia="Calibri"/>
          <w:i/>
        </w:rPr>
        <w:t>[Reporting in accordance with the reporting requirements in ASA 720 – see [</w:t>
      </w:r>
      <w:proofErr w:type="spellStart"/>
      <w:r w:rsidRPr="003B3141">
        <w:rPr>
          <w:rFonts w:eastAsia="Calibri"/>
          <w:i/>
        </w:rPr>
        <w:t>Aus</w:t>
      </w:r>
      <w:proofErr w:type="spellEnd"/>
      <w:r w:rsidRPr="003B3141">
        <w:rPr>
          <w:rFonts w:eastAsia="Calibri"/>
          <w:i/>
        </w:rPr>
        <w:t>] Illustration 1A in Appendix 3 of ASA 720.]</w:t>
      </w:r>
    </w:p>
    <w:p w14:paraId="12A9F754" w14:textId="77777777" w:rsidR="009A7882" w:rsidRDefault="009A7882" w:rsidP="009A7882">
      <w:pPr>
        <w:pStyle w:val="ParaPlain"/>
      </w:pPr>
      <w:r>
        <w:t xml:space="preserve">The directors are responsible for the other information.  The other information comprises the </w:t>
      </w:r>
      <w:r w:rsidRPr="002C0E39">
        <w:t xml:space="preserve">information </w:t>
      </w:r>
      <w:r w:rsidRPr="003B3141">
        <w:t>included</w:t>
      </w:r>
      <w:r w:rsidRPr="002C0E39">
        <w:t xml:space="preserve"> in the </w:t>
      </w:r>
      <w:r w:rsidRPr="003B3141">
        <w:t>Gro</w:t>
      </w:r>
      <w:r w:rsidRPr="002C0E39">
        <w:t>up’s</w:t>
      </w:r>
      <w:r>
        <w:t xml:space="preserve"> annual report for the year ended 30 June 20X1, but does not include the financial report and </w:t>
      </w:r>
      <w:r w:rsidRPr="003B3141">
        <w:t>our</w:t>
      </w:r>
      <w:r w:rsidRPr="002C0E39">
        <w:t xml:space="preserve"> a</w:t>
      </w:r>
      <w:r>
        <w:t>uditor’s report thereon.</w:t>
      </w:r>
    </w:p>
    <w:p w14:paraId="1D821926"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230B9329"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0E1942E5"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7A280B1A" w14:textId="77777777" w:rsidR="009A7882" w:rsidRPr="00F43681" w:rsidRDefault="009A7882" w:rsidP="009A7882">
      <w:pPr>
        <w:pStyle w:val="Heading6"/>
      </w:pPr>
      <w:r w:rsidRPr="00F43681">
        <w:lastRenderedPageBreak/>
        <w:t xml:space="preserve">Responsibilities </w:t>
      </w:r>
      <w:r w:rsidRPr="00324404">
        <w:t>of the Directors for the Financial Report</w:t>
      </w:r>
    </w:p>
    <w:p w14:paraId="6D3EE253" w14:textId="796A53E3" w:rsidR="009A7882" w:rsidRPr="00F43681" w:rsidRDefault="009A7882" w:rsidP="009A7882">
      <w:pPr>
        <w:pStyle w:val="ParaPlain"/>
      </w:pPr>
      <w:r>
        <w:t>The directors of the Company are</w:t>
      </w:r>
      <w:r w:rsidRPr="00F43681">
        <w:t xml:space="preserve"> responsible for the preparation of the financial report that gives a true and fair view in accordance with Australian Accounting Standards and the </w:t>
      </w:r>
      <w:r w:rsidR="00BB5F68">
        <w:rPr>
          <w:i/>
        </w:rPr>
        <w:t>Corporations Act 2001</w:t>
      </w:r>
      <w:r w:rsidRPr="00F43681">
        <w:t xml:space="preserve"> and for such internal control as </w:t>
      </w:r>
      <w:r>
        <w:t>the directors</w:t>
      </w:r>
      <w:r w:rsidRPr="00F43681">
        <w:t xml:space="preserve"> determine is necessary to enable the preparation of the financial report that gives a true and fair view and is free from material misstatement, whether due to fraud or error.  </w:t>
      </w:r>
    </w:p>
    <w:p w14:paraId="207D69FD" w14:textId="77777777" w:rsidR="009A7882" w:rsidRPr="00F43681" w:rsidRDefault="009A7882" w:rsidP="009A7882">
      <w:pPr>
        <w:pStyle w:val="ParaPlain"/>
      </w:pPr>
      <w:r w:rsidRPr="00F43681">
        <w:t xml:space="preserve">In preparing the financial report, </w:t>
      </w:r>
      <w:r>
        <w:t xml:space="preserve">the directors are </w:t>
      </w:r>
      <w:r w:rsidRPr="00F43681">
        <w:t xml:space="preserve">responsible for assessing the ability </w:t>
      </w:r>
      <w:r>
        <w:t xml:space="preserve">of the </w:t>
      </w:r>
      <w:r w:rsidRPr="003B3141">
        <w:t>Group</w:t>
      </w:r>
      <w:r>
        <w:t xml:space="preserve"> </w:t>
      </w:r>
      <w:r w:rsidRPr="00F43681">
        <w:t xml:space="preserve">to continue as a going concern, disclosing, as applicable, matters related to going concern and using the going concern basis of accounting unless </w:t>
      </w:r>
      <w:r>
        <w:t>the directors</w:t>
      </w:r>
      <w:r w:rsidRPr="00F43681">
        <w:t xml:space="preserve"> either intend to liquidate the </w:t>
      </w:r>
      <w:r w:rsidRPr="003B3141">
        <w:t>Group</w:t>
      </w:r>
      <w:r>
        <w:t xml:space="preserve"> </w:t>
      </w:r>
      <w:r w:rsidRPr="00F43681">
        <w:t>or to cease operations, or has no realistic alternative but to do so.</w:t>
      </w:r>
    </w:p>
    <w:p w14:paraId="0657CEAE" w14:textId="77777777" w:rsidR="009A7882" w:rsidRPr="00F43681" w:rsidRDefault="009A7882" w:rsidP="009A7882">
      <w:pPr>
        <w:pStyle w:val="Heading6"/>
      </w:pPr>
      <w:r w:rsidRPr="00F43681">
        <w:t>Auditor’s Responsibilities for the Audit of the Financial Report</w:t>
      </w:r>
    </w:p>
    <w:p w14:paraId="71A08C6D" w14:textId="77777777" w:rsidR="009A7882" w:rsidRDefault="009A7882" w:rsidP="009A7882">
      <w:pPr>
        <w:pStyle w:val="ParaPlain"/>
      </w:pPr>
      <w:r w:rsidRPr="00F43681">
        <w:t xml:space="preserve">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 </w:t>
      </w:r>
      <w:r>
        <w:t xml:space="preserve"> </w:t>
      </w:r>
      <w:r w:rsidRPr="00F43681">
        <w:t>Misstatements can arise from fraud or error and are considered material if, individually or in the aggregate, they could reasonably be expected to influence the economic decisions of users taken on the basis of this financial report.</w:t>
      </w:r>
    </w:p>
    <w:p w14:paraId="373819AD" w14:textId="68842590" w:rsidR="009A7882" w:rsidRPr="00F43681" w:rsidRDefault="009A7882" w:rsidP="009A7882">
      <w:pPr>
        <w:pStyle w:val="ParaPlain"/>
      </w:pPr>
      <w:r w:rsidRPr="007507A0">
        <w:t>[</w:t>
      </w:r>
      <w:r w:rsidRPr="007507A0">
        <w:rPr>
          <w:rStyle w:val="RefParas"/>
          <w:sz w:val="22"/>
          <w:szCs w:val="22"/>
        </w:rPr>
        <w:t xml:space="preserve">A further description of our responsibilities for the audit of the financial report is located at the Auditing and Assurance Standards Board website at: </w:t>
      </w:r>
      <w:hyperlink r:id="rId13" w:tooltip="AUASB website" w:history="1">
        <w:r w:rsidRPr="007507A0">
          <w:rPr>
            <w:rStyle w:val="Hyperlink"/>
            <w:szCs w:val="22"/>
          </w:rPr>
          <w:t>http://www.auasb.gov.au/Home.aspx</w:t>
        </w:r>
      </w:hyperlink>
      <w:r w:rsidRPr="007507A0">
        <w:rPr>
          <w:rStyle w:val="Hyperlink"/>
          <w:szCs w:val="22"/>
        </w:rPr>
        <w:t>.</w:t>
      </w:r>
      <w:r w:rsidRPr="007507A0">
        <w:rPr>
          <w:rStyle w:val="RefParas"/>
          <w:sz w:val="22"/>
          <w:szCs w:val="22"/>
        </w:rPr>
        <w:t xml:space="preserve"> </w:t>
      </w:r>
      <w:r>
        <w:rPr>
          <w:rStyle w:val="RefParas"/>
          <w:sz w:val="22"/>
          <w:szCs w:val="22"/>
        </w:rPr>
        <w:t xml:space="preserve"> </w:t>
      </w:r>
      <w:r w:rsidRPr="007507A0">
        <w:rPr>
          <w:rStyle w:val="RefParas"/>
          <w:sz w:val="22"/>
          <w:szCs w:val="22"/>
        </w:rPr>
        <w:t>This description forms part of our auditor’s report.]</w:t>
      </w:r>
    </w:p>
    <w:p w14:paraId="7E3DC0DC"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7507A0">
        <w:rPr>
          <w:sz w:val="18"/>
          <w:szCs w:val="18"/>
        </w:rPr>
        <w:t>41(b)</w:t>
      </w:r>
      <w:r w:rsidRPr="00F43681">
        <w:rPr>
          <w:sz w:val="18"/>
          <w:szCs w:val="18"/>
        </w:rPr>
        <w:t xml:space="preserve"> explains that the shaded material below can be located in an Appendix to the auditor’s report.</w:t>
      </w:r>
      <w:r>
        <w:rPr>
          <w:sz w:val="18"/>
          <w:szCs w:val="18"/>
        </w:rPr>
        <w:t xml:space="preserve"> </w:t>
      </w:r>
    </w:p>
    <w:p w14:paraId="221CAEE9" w14:textId="30A1FA80" w:rsidR="009A7882" w:rsidRPr="00F43681" w:rsidRDefault="001C2921" w:rsidP="009A7882">
      <w:pPr>
        <w:shd w:val="clear" w:color="auto" w:fill="BFBFBF" w:themeFill="background1" w:themeFillShade="BF"/>
        <w:spacing w:after="200"/>
        <w:rPr>
          <w:sz w:val="18"/>
          <w:szCs w:val="18"/>
        </w:rPr>
      </w:pPr>
      <w:r w:rsidRPr="0067252C">
        <w:rPr>
          <w:sz w:val="18"/>
          <w:szCs w:val="18"/>
        </w:rPr>
        <w:t>Paragraph</w:t>
      </w:r>
      <w:r>
        <w:rPr>
          <w:sz w:val="18"/>
          <w:szCs w:val="18"/>
        </w:rPr>
        <w:t> </w:t>
      </w:r>
      <w:r w:rsidRPr="007507A0">
        <w:rPr>
          <w:sz w:val="18"/>
          <w:szCs w:val="18"/>
        </w:rPr>
        <w:t>4</w:t>
      </w:r>
      <w:r w:rsidR="009A7882" w:rsidRPr="003B3141">
        <w:rPr>
          <w:sz w:val="18"/>
          <w:szCs w:val="18"/>
        </w:rPr>
        <w:t>1</w:t>
      </w:r>
      <w:r w:rsidR="009A7882" w:rsidRPr="007507A0">
        <w:rPr>
          <w:sz w:val="18"/>
          <w:szCs w:val="18"/>
        </w:rPr>
        <w:t>(c)</w:t>
      </w:r>
      <w:r w:rsidR="009A7882" w:rsidRPr="0067252C">
        <w:rPr>
          <w:sz w:val="18"/>
          <w:szCs w:val="18"/>
        </w:rPr>
        <w:t xml:space="preserve">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A7882" w:rsidRPr="00F804B0">
        <w:rPr>
          <w:sz w:val="18"/>
          <w:szCs w:val="18"/>
        </w:rPr>
        <w:t xml:space="preserve">.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14" w:tooltip="AUASB website" w:history="1">
        <w:r w:rsidR="009A7882" w:rsidRPr="003B3141">
          <w:rPr>
            <w:rStyle w:val="Hyperlink"/>
            <w:sz w:val="18"/>
            <w:szCs w:val="18"/>
          </w:rPr>
          <w:t>http://www.auasb.gov.au/Home.aspx</w:t>
        </w:r>
      </w:hyperlink>
      <w:r w:rsidR="009A7882" w:rsidRPr="00F804B0">
        <w:rPr>
          <w:rStyle w:val="Hyperlink"/>
          <w:szCs w:val="22"/>
        </w:rPr>
        <w:t xml:space="preserve"> </w:t>
      </w:r>
      <w:r w:rsidR="009A7882" w:rsidRPr="00F804B0">
        <w:rPr>
          <w:rStyle w:val="RefParas"/>
        </w:rPr>
        <w:t>(</w:t>
      </w:r>
      <w:r w:rsidR="00BB5F68">
        <w:rPr>
          <w:rStyle w:val="RefParas"/>
        </w:rPr>
        <w:t>Ref: Para. </w:t>
      </w:r>
      <w:proofErr w:type="spellStart"/>
      <w:r w:rsidR="009A7882" w:rsidRPr="00F804B0">
        <w:rPr>
          <w:rStyle w:val="RefParas"/>
        </w:rPr>
        <w:t>Aus</w:t>
      </w:r>
      <w:proofErr w:type="spellEnd"/>
      <w:r w:rsidR="009A7882" w:rsidRPr="00F804B0">
        <w:rPr>
          <w:rStyle w:val="RefParas"/>
        </w:rPr>
        <w:t xml:space="preserve"> </w:t>
      </w:r>
      <w:r w:rsidR="009A7882" w:rsidRPr="003B3141">
        <w:rPr>
          <w:rStyle w:val="RefParas"/>
        </w:rPr>
        <w:t>A57</w:t>
      </w:r>
      <w:r w:rsidR="009A7882" w:rsidRPr="00F804B0">
        <w:rPr>
          <w:rStyle w:val="RefParas"/>
        </w:rPr>
        <w:t>.1)</w:t>
      </w:r>
    </w:p>
    <w:p w14:paraId="416EE534"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565BDD72"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1D4B4B4A" w14:textId="77777777" w:rsidR="009A7882" w:rsidRDefault="009A7882" w:rsidP="009A7882">
      <w:pPr>
        <w:numPr>
          <w:ilvl w:val="0"/>
          <w:numId w:val="40"/>
        </w:numPr>
        <w:shd w:val="clear" w:color="auto" w:fill="BFBFBF" w:themeFill="background1" w:themeFillShade="BF"/>
        <w:spacing w:after="200"/>
        <w:ind w:left="284" w:hanging="284"/>
        <w:rPr>
          <w:sz w:val="18"/>
          <w:szCs w:val="18"/>
        </w:rPr>
      </w:pPr>
      <w:r w:rsidRPr="00D94126">
        <w:rPr>
          <w:sz w:val="18"/>
          <w:szCs w:val="18"/>
        </w:rPr>
        <w:t xml:space="preserve">Obtain an understanding of internal control relevant to the audit in order to design audit procedures that are appropriate in the circumstances, but not for the purpose of expressing an opinion on the effectiveness of </w:t>
      </w:r>
      <w:r w:rsidRPr="00C80870">
        <w:rPr>
          <w:sz w:val="18"/>
          <w:szCs w:val="18"/>
        </w:rPr>
        <w:t xml:space="preserve">the </w:t>
      </w:r>
      <w:r w:rsidRPr="003B3141">
        <w:rPr>
          <w:sz w:val="18"/>
          <w:szCs w:val="18"/>
        </w:rPr>
        <w:t>Group’s</w:t>
      </w:r>
      <w:r w:rsidRPr="00C80870">
        <w:rPr>
          <w:sz w:val="18"/>
          <w:szCs w:val="18"/>
        </w:rPr>
        <w:t xml:space="preserve"> internal</w:t>
      </w:r>
      <w:r w:rsidRPr="00D94126">
        <w:rPr>
          <w:sz w:val="18"/>
          <w:szCs w:val="18"/>
        </w:rPr>
        <w:t xml:space="preserve"> control</w:t>
      </w:r>
      <w:r>
        <w:rPr>
          <w:sz w:val="18"/>
          <w:szCs w:val="18"/>
        </w:rPr>
        <w:t>.</w:t>
      </w:r>
    </w:p>
    <w:p w14:paraId="6C94066F" w14:textId="77777777" w:rsidR="009A7882" w:rsidRPr="00C80870" w:rsidRDefault="009A7882" w:rsidP="009A7882">
      <w:pPr>
        <w:numPr>
          <w:ilvl w:val="0"/>
          <w:numId w:val="40"/>
        </w:numPr>
        <w:shd w:val="clear" w:color="auto" w:fill="BFBFBF" w:themeFill="background1" w:themeFillShade="BF"/>
        <w:spacing w:after="200"/>
        <w:ind w:left="284" w:hanging="284"/>
        <w:rPr>
          <w:sz w:val="18"/>
          <w:szCs w:val="18"/>
        </w:rPr>
      </w:pPr>
      <w:r w:rsidRPr="00C80870">
        <w:rPr>
          <w:sz w:val="18"/>
          <w:szCs w:val="18"/>
        </w:rPr>
        <w:t>Evaluate the appropriateness of accounting policies used and the reasonableness of accounting estimates and related disclosures made by the directors.</w:t>
      </w:r>
    </w:p>
    <w:p w14:paraId="05C7C524"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w:t>
      </w:r>
      <w:r>
        <w:rPr>
          <w:sz w:val="18"/>
          <w:szCs w:val="18"/>
        </w:rPr>
        <w:t>the directors’</w:t>
      </w:r>
      <w:r w:rsidRPr="00F43681">
        <w:rPr>
          <w:sz w:val="18"/>
          <w:szCs w:val="18"/>
        </w:rPr>
        <w:t xml:space="preserve"> use of the going concern basis of accounting and, based on the audit evidence obtained, whether a material uncertainty exists related to events or conditions that may cast significant doubt on </w:t>
      </w:r>
      <w:r w:rsidRPr="00C80870">
        <w:rPr>
          <w:sz w:val="18"/>
          <w:szCs w:val="18"/>
        </w:rPr>
        <w:t xml:space="preserve">the </w:t>
      </w:r>
      <w:r w:rsidRPr="003B3141">
        <w:rPr>
          <w:sz w:val="18"/>
          <w:szCs w:val="18"/>
        </w:rPr>
        <w:t>Group’s</w:t>
      </w:r>
      <w:r>
        <w:rPr>
          <w:sz w:val="18"/>
          <w:szCs w:val="18"/>
        </w:rPr>
        <w:t xml:space="preserve"> </w:t>
      </w:r>
      <w:r w:rsidRPr="00F43681">
        <w:rPr>
          <w:sz w:val="18"/>
          <w:szCs w:val="18"/>
        </w:rPr>
        <w:t xml:space="preserve">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However, future events or conditions may cause </w:t>
      </w:r>
      <w:r w:rsidRPr="00C80870">
        <w:rPr>
          <w:sz w:val="18"/>
          <w:szCs w:val="18"/>
        </w:rPr>
        <w:t xml:space="preserve">the </w:t>
      </w:r>
      <w:r w:rsidRPr="003B3141">
        <w:rPr>
          <w:sz w:val="18"/>
          <w:szCs w:val="18"/>
        </w:rPr>
        <w:t>Group</w:t>
      </w:r>
      <w:r w:rsidRPr="00C80870">
        <w:rPr>
          <w:sz w:val="18"/>
          <w:szCs w:val="18"/>
        </w:rPr>
        <w:t xml:space="preserve"> to</w:t>
      </w:r>
      <w:r w:rsidRPr="00F43681">
        <w:rPr>
          <w:sz w:val="18"/>
          <w:szCs w:val="18"/>
        </w:rPr>
        <w:t xml:space="preserve"> cease to continue as a going concern.</w:t>
      </w:r>
    </w:p>
    <w:p w14:paraId="5BE2B072" w14:textId="77777777" w:rsidR="009A7882"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lastRenderedPageBreak/>
        <w:t>Evaluate the overall presentation, structure and content of the financial report, including the disclosures, and whether the financial report represents the underlying transactions and events in a manner that achieves fair presentation.</w:t>
      </w:r>
    </w:p>
    <w:p w14:paraId="2297F25D"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9A617D">
        <w:rPr>
          <w:sz w:val="18"/>
          <w:szCs w:val="18"/>
        </w:rPr>
        <w:t xml:space="preserve">Obtain sufficient appropriate audit evidence regarding the financial information of the entities or business activities within </w:t>
      </w:r>
      <w:r w:rsidRPr="00C80870">
        <w:rPr>
          <w:sz w:val="18"/>
          <w:szCs w:val="18"/>
        </w:rPr>
        <w:t xml:space="preserve">the </w:t>
      </w:r>
      <w:r w:rsidRPr="003B3141">
        <w:rPr>
          <w:sz w:val="18"/>
          <w:szCs w:val="18"/>
        </w:rPr>
        <w:t>Group</w:t>
      </w:r>
      <w:r w:rsidRPr="00C80870">
        <w:rPr>
          <w:sz w:val="18"/>
          <w:szCs w:val="18"/>
        </w:rPr>
        <w:t xml:space="preserve"> to</w:t>
      </w:r>
      <w:r w:rsidRPr="009A617D">
        <w:rPr>
          <w:sz w:val="18"/>
          <w:szCs w:val="18"/>
        </w:rPr>
        <w:t xml:space="preserve"> express an opinion on the financial </w:t>
      </w:r>
      <w:r w:rsidRPr="003B3141">
        <w:rPr>
          <w:sz w:val="18"/>
          <w:szCs w:val="18"/>
        </w:rPr>
        <w:t>report</w:t>
      </w:r>
      <w:r w:rsidRPr="009A617D">
        <w:rPr>
          <w:sz w:val="18"/>
          <w:szCs w:val="18"/>
        </w:rPr>
        <w:t xml:space="preserve">. We are responsible for the direction, supervision and performance of the </w:t>
      </w:r>
      <w:r w:rsidRPr="003B3141">
        <w:rPr>
          <w:sz w:val="18"/>
          <w:szCs w:val="18"/>
        </w:rPr>
        <w:t>Group</w:t>
      </w:r>
      <w:r>
        <w:rPr>
          <w:sz w:val="18"/>
          <w:szCs w:val="18"/>
        </w:rPr>
        <w:t xml:space="preserve"> </w:t>
      </w:r>
      <w:r w:rsidRPr="009A617D">
        <w:rPr>
          <w:sz w:val="18"/>
          <w:szCs w:val="18"/>
        </w:rPr>
        <w:t>audit. We remain solely responsible for our audit opinion</w:t>
      </w:r>
      <w:r>
        <w:rPr>
          <w:sz w:val="18"/>
          <w:szCs w:val="18"/>
        </w:rPr>
        <w:t>.</w:t>
      </w:r>
    </w:p>
    <w:p w14:paraId="3A39914F"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communicate with </w:t>
      </w:r>
      <w:r>
        <w:rPr>
          <w:sz w:val="18"/>
          <w:szCs w:val="18"/>
          <w:lang w:eastAsia="en-AU"/>
        </w:rPr>
        <w:t>the directors</w:t>
      </w:r>
      <w:r w:rsidRPr="00F43681">
        <w:rPr>
          <w:sz w:val="18"/>
          <w:szCs w:val="18"/>
          <w:lang w:eastAsia="en-AU"/>
        </w:rPr>
        <w:t xml:space="preserve"> regarding, among other matters, the planned scope and timing of the audit and significant audit findings, including any significant deficiencies in internal control that we identify during our audit.</w:t>
      </w:r>
    </w:p>
    <w:p w14:paraId="4D884E07" w14:textId="5BAA4C3B"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also provide </w:t>
      </w:r>
      <w:r>
        <w:rPr>
          <w:sz w:val="18"/>
          <w:szCs w:val="18"/>
          <w:lang w:eastAsia="en-AU"/>
        </w:rPr>
        <w:t>the directors</w:t>
      </w:r>
      <w:r w:rsidRPr="00F43681">
        <w:rPr>
          <w:sz w:val="18"/>
          <w:szCs w:val="18"/>
          <w:lang w:eastAsia="en-AU"/>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D93320" w:rsidRPr="00D93320">
        <w:rPr>
          <w:sz w:val="18"/>
          <w:szCs w:val="18"/>
          <w:lang w:eastAsia="en-AU"/>
        </w:rPr>
        <w:t>actions taken to eliminate threats or safeguards applied</w:t>
      </w:r>
      <w:r w:rsidRPr="00F43681">
        <w:rPr>
          <w:sz w:val="18"/>
          <w:szCs w:val="18"/>
          <w:lang w:eastAsia="en-AU"/>
        </w:rPr>
        <w:t>.</w:t>
      </w:r>
    </w:p>
    <w:p w14:paraId="01264394"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From the matters communicated with </w:t>
      </w:r>
      <w:r>
        <w:rPr>
          <w:sz w:val="18"/>
          <w:szCs w:val="18"/>
          <w:lang w:eastAsia="en-AU"/>
        </w:rPr>
        <w:t>the directors</w:t>
      </w:r>
      <w:r w:rsidRPr="00F43681">
        <w:rPr>
          <w:sz w:val="18"/>
          <w:szCs w:val="18"/>
          <w:lang w:eastAsia="en-AU"/>
        </w:rPr>
        <w:t xml:space="preserve">, we determine those matters that were of most significance in the audit of the financial </w:t>
      </w:r>
      <w:r>
        <w:rPr>
          <w:sz w:val="18"/>
          <w:szCs w:val="18"/>
          <w:lang w:eastAsia="en-AU"/>
        </w:rPr>
        <w:t>report</w:t>
      </w:r>
      <w:r w:rsidRPr="00F43681">
        <w:rPr>
          <w:sz w:val="18"/>
          <w:szCs w:val="18"/>
          <w:lang w:eastAsia="en-AU"/>
        </w:rPr>
        <w:t xml:space="preserve"> of the current period and are therefore the key audit matters. </w:t>
      </w:r>
      <w:r>
        <w:rPr>
          <w:sz w:val="18"/>
          <w:szCs w:val="18"/>
          <w:lang w:eastAsia="en-AU"/>
        </w:rPr>
        <w:t xml:space="preserve"> </w:t>
      </w:r>
      <w:r w:rsidRPr="00F43681">
        <w:rPr>
          <w:sz w:val="18"/>
          <w:szCs w:val="18"/>
          <w:lang w:eastAsia="en-AU"/>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33FB40DC" w14:textId="77777777" w:rsidR="009A7882" w:rsidRPr="00F43681" w:rsidRDefault="009A7882" w:rsidP="009A7882">
      <w:pPr>
        <w:pStyle w:val="Heading6"/>
        <w:rPr>
          <w:lang w:eastAsia="en-AU"/>
        </w:rPr>
      </w:pPr>
      <w:r w:rsidRPr="00F43681">
        <w:rPr>
          <w:lang w:eastAsia="en-AU"/>
        </w:rPr>
        <w:t>Report on the Remuneration Report</w:t>
      </w:r>
      <w:r w:rsidRPr="00BB5F68">
        <w:rPr>
          <w:rStyle w:val="FootnoteReference"/>
        </w:rPr>
        <w:footnoteReference w:customMarkFollows="1" w:id="8"/>
        <w:t>§</w:t>
      </w:r>
    </w:p>
    <w:p w14:paraId="48F40553" w14:textId="77777777" w:rsidR="009A7882" w:rsidRPr="00F43681" w:rsidRDefault="009A7882" w:rsidP="009A7882">
      <w:pPr>
        <w:pStyle w:val="Heading7"/>
      </w:pPr>
      <w:r w:rsidRPr="00F43681">
        <w:t>Opinion on the Remuneration Report</w:t>
      </w:r>
    </w:p>
    <w:p w14:paraId="547D187B" w14:textId="77777777" w:rsidR="009A7882" w:rsidRDefault="009A7882" w:rsidP="009A7882">
      <w:pPr>
        <w:pStyle w:val="ParaPlain"/>
        <w:rPr>
          <w:lang w:eastAsia="en-AU"/>
        </w:rPr>
      </w:pPr>
      <w:r w:rsidRPr="00F43681">
        <w:rPr>
          <w:lang w:eastAsia="en-AU"/>
        </w:rPr>
        <w:t xml:space="preserve">We have audited the Remuneration Report included in [paragraphs a to b or pages x to y] of the directors’ report for the year ended 30 June 20X1.  </w:t>
      </w:r>
    </w:p>
    <w:p w14:paraId="5E21083D" w14:textId="34CC055B" w:rsidR="009A7882" w:rsidRPr="00F43681" w:rsidRDefault="009A7882" w:rsidP="009A7882">
      <w:pPr>
        <w:pStyle w:val="ParaPlain"/>
      </w:pPr>
      <w:r w:rsidRPr="00F43681">
        <w:t xml:space="preserve">In our opinion, the Remuneration Report of ABC Company Ltd., for the year ended 30 June 20X1, complies with section 300A of the </w:t>
      </w:r>
      <w:r w:rsidR="00BB5F68">
        <w:rPr>
          <w:i/>
        </w:rPr>
        <w:t>Corporations Act 2001</w:t>
      </w:r>
      <w:r w:rsidRPr="00F43681">
        <w:t>.</w:t>
      </w:r>
    </w:p>
    <w:p w14:paraId="3445F908" w14:textId="77777777" w:rsidR="009A7882" w:rsidRDefault="009A7882" w:rsidP="009A7882">
      <w:pPr>
        <w:pStyle w:val="Heading7"/>
        <w:rPr>
          <w:lang w:eastAsia="en-AU"/>
        </w:rPr>
      </w:pPr>
      <w:r>
        <w:rPr>
          <w:lang w:eastAsia="en-AU"/>
        </w:rPr>
        <w:t>Responsibilities</w:t>
      </w:r>
    </w:p>
    <w:p w14:paraId="7B6F7ED2" w14:textId="317EBD92" w:rsidR="009A7882" w:rsidRPr="00F43681" w:rsidRDefault="009A7882" w:rsidP="009A7882">
      <w:pPr>
        <w:pStyle w:val="ParaPlain"/>
        <w:rPr>
          <w:lang w:eastAsia="en-AU"/>
        </w:rPr>
      </w:pPr>
      <w:r w:rsidRPr="00F43681">
        <w:rPr>
          <w:lang w:eastAsia="en-AU"/>
        </w:rPr>
        <w:t xml:space="preserve">The directors of the Company are responsible for the preparation and presentation of the Remuneration Report in accordance with section 300A of the </w:t>
      </w:r>
      <w:r w:rsidR="00BB5F68">
        <w:rPr>
          <w:i/>
          <w:lang w:eastAsia="en-AU"/>
        </w:rPr>
        <w:t>Corporations Act 2001</w:t>
      </w:r>
      <w:r w:rsidRPr="00F43681">
        <w:rPr>
          <w:lang w:eastAsia="en-AU"/>
        </w:rPr>
        <w:t>.  Our responsibility is to express an opinion on the Remuneration Report, based on our audit conducted in accordance with Australian Auditing Standards.</w:t>
      </w:r>
      <w:r>
        <w:rPr>
          <w:lang w:eastAsia="en-AU"/>
        </w:rPr>
        <w:t xml:space="preserve"> </w:t>
      </w:r>
    </w:p>
    <w:p w14:paraId="7F613319" w14:textId="77777777" w:rsidR="009A7882" w:rsidRPr="00F43681" w:rsidRDefault="009A7882" w:rsidP="009A7882">
      <w:pPr>
        <w:spacing w:after="200"/>
        <w:rPr>
          <w:szCs w:val="24"/>
          <w:lang w:eastAsia="en-AU"/>
        </w:rPr>
      </w:pPr>
      <w:r w:rsidRPr="00F43681">
        <w:rPr>
          <w:szCs w:val="24"/>
          <w:lang w:eastAsia="en-AU"/>
        </w:rPr>
        <w:t>[</w:t>
      </w:r>
      <w:r w:rsidRPr="000A5848">
        <w:rPr>
          <w:i/>
          <w:szCs w:val="24"/>
          <w:lang w:eastAsia="en-AU"/>
        </w:rPr>
        <w:t>Auditor’s name and signature</w:t>
      </w:r>
      <w:r w:rsidRPr="000A5848">
        <w:rPr>
          <w:szCs w:val="24"/>
          <w:lang w:eastAsia="en-AU"/>
        </w:rPr>
        <w:t>]</w:t>
      </w:r>
      <w:r w:rsidRPr="00BB5F68">
        <w:rPr>
          <w:rStyle w:val="FootnoteReference"/>
        </w:rPr>
        <w:footnoteReference w:customMarkFollows="1" w:id="9"/>
        <w:t>*</w:t>
      </w:r>
    </w:p>
    <w:p w14:paraId="4EF24D2D" w14:textId="77777777" w:rsidR="009A7882" w:rsidRPr="00EA521F" w:rsidRDefault="009A7882" w:rsidP="009A7882">
      <w:pPr>
        <w:spacing w:after="200"/>
        <w:rPr>
          <w:szCs w:val="24"/>
          <w:lang w:eastAsia="en-AU"/>
        </w:rPr>
      </w:pPr>
      <w:r w:rsidRPr="00F74332">
        <w:rPr>
          <w:szCs w:val="24"/>
          <w:lang w:eastAsia="en-AU"/>
        </w:rPr>
        <w:t>[</w:t>
      </w:r>
      <w:r w:rsidRPr="003B3141">
        <w:rPr>
          <w:i/>
          <w:szCs w:val="24"/>
          <w:lang w:eastAsia="en-AU"/>
        </w:rPr>
        <w:t>N</w:t>
      </w:r>
      <w:r w:rsidRPr="00F74332">
        <w:rPr>
          <w:i/>
          <w:szCs w:val="24"/>
          <w:lang w:eastAsia="en-AU"/>
        </w:rPr>
        <w:t>ame of Firm</w:t>
      </w:r>
      <w:r w:rsidRPr="003B3141">
        <w:rPr>
          <w:szCs w:val="24"/>
          <w:lang w:eastAsia="en-AU"/>
        </w:rPr>
        <w:t>]</w:t>
      </w:r>
    </w:p>
    <w:p w14:paraId="55A1BC0D" w14:textId="77777777" w:rsidR="00BB5F68" w:rsidRDefault="009A7882" w:rsidP="00A80FF2">
      <w:pPr>
        <w:spacing w:after="200"/>
      </w:pPr>
      <w:r w:rsidRPr="00F43681">
        <w:rPr>
          <w:szCs w:val="24"/>
          <w:lang w:eastAsia="en-AU"/>
        </w:rPr>
        <w:t>[</w:t>
      </w:r>
      <w:r w:rsidRPr="00F43681">
        <w:rPr>
          <w:i/>
          <w:szCs w:val="24"/>
          <w:lang w:eastAsia="en-AU"/>
        </w:rPr>
        <w:t>Date of the auditor’s report</w:t>
      </w:r>
      <w:r w:rsidRPr="00F43681">
        <w:rPr>
          <w:szCs w:val="24"/>
          <w:lang w:eastAsia="en-AU"/>
        </w:rPr>
        <w:t>]</w:t>
      </w:r>
      <w:r w:rsidR="00BB5F68" w:rsidRPr="00BB5F68">
        <w:rPr>
          <w:rStyle w:val="FootnoteReference"/>
        </w:rPr>
        <w:footnoteReference w:customMarkFollows="1" w:id="10"/>
        <w:t>#</w:t>
      </w:r>
    </w:p>
    <w:p w14:paraId="2EB98F01" w14:textId="77777777" w:rsidR="009A7882" w:rsidRPr="000A5848"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1FAFDF93" w14:textId="77777777" w:rsidR="009A7882" w:rsidRPr="00472A5A" w:rsidRDefault="009A7882" w:rsidP="009A7882">
      <w:r w:rsidRPr="00472A5A">
        <w:br w:type="page"/>
      </w:r>
    </w:p>
    <w:p w14:paraId="3920C572" w14:textId="77777777" w:rsidR="009A7882" w:rsidRPr="00AC6CBF" w:rsidRDefault="009A7882" w:rsidP="009A7882">
      <w:pPr>
        <w:keepNext/>
        <w:spacing w:after="200" w:line="260" w:lineRule="exact"/>
        <w:jc w:val="center"/>
        <w:outlineLvl w:val="4"/>
        <w:rPr>
          <w:rFonts w:cs="Arial"/>
          <w:b/>
          <w:bCs/>
          <w:sz w:val="26"/>
          <w:szCs w:val="26"/>
        </w:rPr>
      </w:pPr>
      <w:r w:rsidRPr="003B3141">
        <w:rPr>
          <w:rFonts w:cs="Arial"/>
          <w:b/>
          <w:bCs/>
          <w:sz w:val="26"/>
          <w:szCs w:val="26"/>
        </w:rPr>
        <w:lastRenderedPageBreak/>
        <w:t>Example Auditor’s Report</w:t>
      </w:r>
      <w:r w:rsidRPr="003B3141">
        <w:rPr>
          <w:rFonts w:cs="Arial"/>
          <w:b/>
          <w:bCs/>
          <w:sz w:val="26"/>
          <w:szCs w:val="26"/>
        </w:rPr>
        <w:br/>
        <w:t>Single Entity (not listed)</w:t>
      </w:r>
      <w:r w:rsidRPr="003B3141">
        <w:rPr>
          <w:rFonts w:cs="Arial"/>
          <w:b/>
          <w:bCs/>
          <w:sz w:val="26"/>
          <w:szCs w:val="26"/>
        </w:rPr>
        <w:br/>
        <w:t>(Fair Presentation Framework)</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llustration 3"/>
        <w:tblDescription w:val="Narrative of Illustration 3"/>
      </w:tblPr>
      <w:tblGrid>
        <w:gridCol w:w="8953"/>
      </w:tblGrid>
      <w:tr w:rsidR="009A7882" w:rsidRPr="00472A5A" w14:paraId="4FB31CB6" w14:textId="77777777" w:rsidTr="002B0B83">
        <w:tc>
          <w:tcPr>
            <w:tcW w:w="9468" w:type="dxa"/>
          </w:tcPr>
          <w:p w14:paraId="39438559" w14:textId="77777777" w:rsidR="009A7882" w:rsidRPr="002E4A1E" w:rsidRDefault="009A7882" w:rsidP="002B0B83">
            <w:pPr>
              <w:spacing w:before="120" w:after="200"/>
            </w:pPr>
            <w:r w:rsidRPr="002E4A1E">
              <w:t>Illustration 3</w:t>
            </w:r>
          </w:p>
          <w:p w14:paraId="6E5F867D" w14:textId="77777777" w:rsidR="009A7882" w:rsidRPr="00472A5A" w:rsidRDefault="009A7882" w:rsidP="002B0B83">
            <w:pPr>
              <w:pStyle w:val="ParaPlain"/>
            </w:pPr>
            <w:r w:rsidRPr="00472A5A">
              <w:br w:type="page"/>
              <w:t>For purposes of this illustrative auditor’s report, the following circumstances are assumed:</w:t>
            </w:r>
          </w:p>
          <w:p w14:paraId="61B75D79" w14:textId="77777777" w:rsidR="009A7882" w:rsidRPr="00472A5A" w:rsidRDefault="009A7882" w:rsidP="009A7882">
            <w:pPr>
              <w:pStyle w:val="ListBullet"/>
              <w:numPr>
                <w:ilvl w:val="0"/>
                <w:numId w:val="1"/>
              </w:numPr>
              <w:tabs>
                <w:tab w:val="clear" w:pos="0"/>
                <w:tab w:val="num" w:pos="743"/>
              </w:tabs>
              <w:ind w:left="743"/>
            </w:pPr>
            <w:r w:rsidRPr="00472A5A">
              <w:t xml:space="preserve">Audit of a financial </w:t>
            </w:r>
            <w:r>
              <w:t>report</w:t>
            </w:r>
            <w:r w:rsidRPr="00472A5A">
              <w:t xml:space="preserve"> of an entity other than a listed entity.</w:t>
            </w:r>
            <w:r>
              <w:t xml:space="preserve">  </w:t>
            </w:r>
            <w:r w:rsidRPr="00472A5A">
              <w:t xml:space="preserve">The audit is not a group audit (i.e., </w:t>
            </w:r>
            <w:r>
              <w:t>A</w:t>
            </w:r>
            <w:r w:rsidRPr="00472A5A">
              <w:t>SA</w:t>
            </w:r>
            <w:r>
              <w:t> </w:t>
            </w:r>
            <w:r w:rsidRPr="00472A5A">
              <w:t>600 does not apply).</w:t>
            </w:r>
          </w:p>
          <w:p w14:paraId="5289D2BB" w14:textId="1025B865" w:rsidR="009A7882" w:rsidRPr="00472A5A" w:rsidRDefault="009A7882" w:rsidP="009A7882">
            <w:pPr>
              <w:pStyle w:val="ListBullet"/>
              <w:numPr>
                <w:ilvl w:val="0"/>
                <w:numId w:val="1"/>
              </w:numPr>
              <w:tabs>
                <w:tab w:val="clear" w:pos="0"/>
                <w:tab w:val="num" w:pos="743"/>
              </w:tabs>
              <w:ind w:left="743"/>
            </w:pPr>
            <w:r w:rsidRPr="00472A5A">
              <w:t xml:space="preserve">The financial </w:t>
            </w:r>
            <w:r>
              <w:t>report</w:t>
            </w:r>
            <w:r w:rsidRPr="00472A5A">
              <w:t xml:space="preserve"> </w:t>
            </w:r>
            <w:r>
              <w:t>is</w:t>
            </w:r>
            <w:r w:rsidRPr="00472A5A">
              <w:t xml:space="preserve"> prepared by management of the entity in accordance with </w:t>
            </w:r>
            <w:r>
              <w:t>Australian Accounting Standards</w:t>
            </w:r>
            <w:r w:rsidRPr="00472A5A">
              <w:t xml:space="preserve"> (a general purpose framework).</w:t>
            </w:r>
            <w:r>
              <w:t xml:space="preserve">  The financial report is </w:t>
            </w:r>
            <w:r w:rsidRPr="009A617D">
              <w:rPr>
                <w:i/>
              </w:rPr>
              <w:t>not</w:t>
            </w:r>
            <w:r>
              <w:t xml:space="preserve"> prepared under the </w:t>
            </w:r>
            <w:r w:rsidR="00BB5F68">
              <w:rPr>
                <w:i/>
              </w:rPr>
              <w:t>Corporations Act 2001</w:t>
            </w:r>
            <w:r>
              <w:t>.</w:t>
            </w:r>
          </w:p>
          <w:p w14:paraId="0C663FBB" w14:textId="77777777" w:rsidR="009A7882" w:rsidRPr="00472A5A" w:rsidRDefault="009A7882" w:rsidP="009A7882">
            <w:pPr>
              <w:pStyle w:val="ListBullet"/>
              <w:numPr>
                <w:ilvl w:val="0"/>
                <w:numId w:val="1"/>
              </w:numPr>
              <w:tabs>
                <w:tab w:val="clear" w:pos="0"/>
                <w:tab w:val="num" w:pos="743"/>
              </w:tabs>
              <w:ind w:left="743"/>
            </w:pPr>
            <w:r w:rsidRPr="00472A5A">
              <w:t xml:space="preserve">The terms of the audit engagement reflect the description of management’s responsibility for the financial </w:t>
            </w:r>
            <w:r>
              <w:t>report</w:t>
            </w:r>
            <w:r w:rsidRPr="00472A5A">
              <w:t xml:space="preserve"> in </w:t>
            </w:r>
            <w:r>
              <w:t>A</w:t>
            </w:r>
            <w:r w:rsidRPr="00472A5A">
              <w:t>SA</w:t>
            </w:r>
            <w:r>
              <w:t> </w:t>
            </w:r>
            <w:r w:rsidRPr="00472A5A">
              <w:t>210.</w:t>
            </w:r>
          </w:p>
          <w:p w14:paraId="49A79CB5" w14:textId="77777777" w:rsidR="009A7882" w:rsidRPr="00472A5A" w:rsidRDefault="009A7882" w:rsidP="009A7882">
            <w:pPr>
              <w:pStyle w:val="ListBullet"/>
              <w:numPr>
                <w:ilvl w:val="0"/>
                <w:numId w:val="1"/>
              </w:numPr>
              <w:tabs>
                <w:tab w:val="clear" w:pos="0"/>
                <w:tab w:val="num" w:pos="743"/>
              </w:tabs>
              <w:ind w:left="743"/>
            </w:pPr>
            <w:r w:rsidRPr="00472A5A">
              <w:t>The auditor has concluded an unmodified (i.e., “clean”) opinion is appropriate based on the audit evidence obtained.</w:t>
            </w:r>
          </w:p>
          <w:p w14:paraId="3E33B94D" w14:textId="2F3B54FE" w:rsidR="009A7882" w:rsidRPr="00472A5A" w:rsidRDefault="009A7882" w:rsidP="009A7882">
            <w:pPr>
              <w:pStyle w:val="ListBullet"/>
              <w:numPr>
                <w:ilvl w:val="0"/>
                <w:numId w:val="1"/>
              </w:numPr>
              <w:tabs>
                <w:tab w:val="clear" w:pos="0"/>
                <w:tab w:val="num" w:pos="743"/>
              </w:tabs>
              <w:ind w:left="743"/>
            </w:pPr>
            <w:r w:rsidRPr="00472A5A">
              <w:t>The relevant ethical requirements that apply to the audit are</w:t>
            </w:r>
            <w:r>
              <w:rPr>
                <w:szCs w:val="24"/>
              </w:rPr>
              <w:t xml:space="preserve"> 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Pr>
                <w:szCs w:val="24"/>
              </w:rPr>
              <w:t>.</w:t>
            </w:r>
          </w:p>
          <w:p w14:paraId="615887E0" w14:textId="77777777" w:rsidR="009A7882" w:rsidRPr="00472A5A" w:rsidRDefault="009A7882" w:rsidP="009A7882">
            <w:pPr>
              <w:pStyle w:val="ListBullet"/>
              <w:numPr>
                <w:ilvl w:val="0"/>
                <w:numId w:val="1"/>
              </w:numPr>
              <w:tabs>
                <w:tab w:val="clear" w:pos="0"/>
                <w:tab w:val="num" w:pos="743"/>
              </w:tabs>
              <w:ind w:left="743"/>
            </w:pPr>
            <w:r w:rsidRPr="00472A5A">
              <w:t xml:space="preserve">Based on the audit evidence obtained, the auditor has concluded that a material uncertainty does not exist related to events or conditions that may cast significant doubt on the entity’s ability to continue as a going concern in accordance with </w:t>
            </w:r>
            <w:r>
              <w:t>A</w:t>
            </w:r>
            <w:r w:rsidRPr="00472A5A">
              <w:t>SA</w:t>
            </w:r>
            <w:r>
              <w:t> </w:t>
            </w:r>
            <w:r w:rsidRPr="00472A5A">
              <w:t>570.</w:t>
            </w:r>
          </w:p>
          <w:p w14:paraId="1C619277" w14:textId="77777777" w:rsidR="009A7882" w:rsidRDefault="009A7882" w:rsidP="009A7882">
            <w:pPr>
              <w:pStyle w:val="ListBullet"/>
              <w:numPr>
                <w:ilvl w:val="0"/>
                <w:numId w:val="1"/>
              </w:numPr>
              <w:tabs>
                <w:tab w:val="clear" w:pos="0"/>
                <w:tab w:val="num" w:pos="743"/>
              </w:tabs>
              <w:ind w:left="743"/>
            </w:pPr>
            <w:r w:rsidRPr="00472A5A">
              <w:t xml:space="preserve">The auditor is not required, and has otherwise not decided, to communicate key audit matters in accordance with </w:t>
            </w:r>
            <w:r>
              <w:t>A</w:t>
            </w:r>
            <w:r w:rsidRPr="00472A5A">
              <w:t>SA</w:t>
            </w:r>
            <w:r>
              <w:t> </w:t>
            </w:r>
            <w:r w:rsidRPr="00472A5A">
              <w:t>701.</w:t>
            </w:r>
          </w:p>
          <w:p w14:paraId="663C9CE5" w14:textId="77777777" w:rsidR="009A7882" w:rsidRDefault="009A7882" w:rsidP="009A7882">
            <w:pPr>
              <w:pStyle w:val="ListBullet"/>
              <w:numPr>
                <w:ilvl w:val="0"/>
                <w:numId w:val="1"/>
              </w:numPr>
              <w:tabs>
                <w:tab w:val="clear" w:pos="0"/>
                <w:tab w:val="num" w:pos="743"/>
              </w:tabs>
              <w:ind w:left="743"/>
            </w:pPr>
            <w:r>
              <w:rPr>
                <w:szCs w:val="24"/>
              </w:rPr>
              <w:t>The auditor has obtained all of the other information prior to the date of the auditor’s report and has not identified a material misstatement of the other information.</w:t>
            </w:r>
          </w:p>
          <w:p w14:paraId="3E5BE9D6" w14:textId="77777777" w:rsidR="009A7882" w:rsidRPr="00472A5A" w:rsidRDefault="009A7882" w:rsidP="009A7882">
            <w:pPr>
              <w:pStyle w:val="ListBullet"/>
              <w:numPr>
                <w:ilvl w:val="0"/>
                <w:numId w:val="1"/>
              </w:numPr>
              <w:tabs>
                <w:tab w:val="clear" w:pos="0"/>
                <w:tab w:val="num" w:pos="743"/>
              </w:tabs>
              <w:ind w:left="743"/>
            </w:pPr>
            <w:r w:rsidRPr="00472A5A">
              <w:t xml:space="preserve">Those responsible for oversight of the financial </w:t>
            </w:r>
            <w:r>
              <w:t>report</w:t>
            </w:r>
            <w:r w:rsidRPr="00472A5A">
              <w:t xml:space="preserve"> differ from those responsible for the preparation of the financial </w:t>
            </w:r>
            <w:r>
              <w:t>report</w:t>
            </w:r>
            <w:r w:rsidRPr="00472A5A">
              <w:t>.</w:t>
            </w:r>
          </w:p>
          <w:p w14:paraId="67269F1D" w14:textId="77777777" w:rsidR="009A7882" w:rsidRPr="00472A5A" w:rsidRDefault="009A7882" w:rsidP="009A7882">
            <w:pPr>
              <w:pStyle w:val="ListBullet"/>
              <w:numPr>
                <w:ilvl w:val="0"/>
                <w:numId w:val="1"/>
              </w:numPr>
              <w:tabs>
                <w:tab w:val="clear" w:pos="0"/>
                <w:tab w:val="num" w:pos="743"/>
              </w:tabs>
              <w:ind w:left="743"/>
            </w:pPr>
            <w:r w:rsidRPr="00472A5A">
              <w:t>The auditor has no other reporting responsibilities required under local law.</w:t>
            </w:r>
          </w:p>
        </w:tc>
      </w:tr>
    </w:tbl>
    <w:p w14:paraId="256151A7" w14:textId="77777777" w:rsidR="009A7882" w:rsidRPr="008754D5" w:rsidRDefault="009A7882" w:rsidP="009A7882">
      <w:pPr>
        <w:pStyle w:val="Heading6"/>
        <w:spacing w:before="240"/>
        <w:rPr>
          <w:b w:val="0"/>
        </w:rPr>
      </w:pPr>
      <w:r w:rsidRPr="008754D5">
        <w:rPr>
          <w:b w:val="0"/>
        </w:rPr>
        <w:t xml:space="preserve">INDEPENDENT AUDITOR’S REPORT </w:t>
      </w:r>
    </w:p>
    <w:p w14:paraId="21863DD9" w14:textId="77777777" w:rsidR="009A7882" w:rsidRPr="00472A5A" w:rsidRDefault="009A7882" w:rsidP="009A7882">
      <w:pPr>
        <w:pStyle w:val="ParaPlain"/>
      </w:pPr>
      <w:r w:rsidRPr="00472A5A">
        <w:t xml:space="preserve">To the </w:t>
      </w:r>
      <w:r>
        <w:t>Members</w:t>
      </w:r>
      <w:r w:rsidRPr="00472A5A">
        <w:t xml:space="preserve"> of ABC </w:t>
      </w:r>
      <w:r>
        <w:t>Entity</w:t>
      </w:r>
      <w:r w:rsidRPr="00472A5A">
        <w:t xml:space="preserve"> [or Other Appropriate Addressee] </w:t>
      </w:r>
    </w:p>
    <w:p w14:paraId="35FF80EE" w14:textId="77777777" w:rsidR="009A7882" w:rsidRPr="00472A5A" w:rsidRDefault="009A7882" w:rsidP="009A7882">
      <w:pPr>
        <w:pStyle w:val="Heading6"/>
      </w:pPr>
      <w:r w:rsidRPr="00703590">
        <w:t>Opinion</w:t>
      </w:r>
      <w:r w:rsidRPr="00472A5A">
        <w:t xml:space="preserve"> </w:t>
      </w:r>
    </w:p>
    <w:p w14:paraId="2601EECC" w14:textId="77777777" w:rsidR="009A7882" w:rsidRPr="00472A5A" w:rsidRDefault="009A7882" w:rsidP="009A7882">
      <w:pPr>
        <w:pStyle w:val="ParaPlain"/>
      </w:pPr>
      <w:r w:rsidRPr="00472A5A">
        <w:t xml:space="preserve">We have audited the financial </w:t>
      </w:r>
      <w:r>
        <w:t>report</w:t>
      </w:r>
      <w:r w:rsidRPr="00472A5A">
        <w:t xml:space="preserve"> of ABC </w:t>
      </w:r>
      <w:r>
        <w:t>Entity</w:t>
      </w:r>
      <w:r w:rsidRPr="00472A5A">
        <w:t xml:space="preserve"> (the </w:t>
      </w:r>
      <w:r>
        <w:t>Entity</w:t>
      </w:r>
      <w:r w:rsidRPr="00472A5A">
        <w:t>), which comprise</w:t>
      </w:r>
      <w:r>
        <w:t>s</w:t>
      </w:r>
      <w:r w:rsidRPr="00472A5A">
        <w:t xml:space="preserve"> the statement of financial position as at </w:t>
      </w:r>
      <w:r>
        <w:t>30 June </w:t>
      </w:r>
      <w:r w:rsidRPr="00472A5A">
        <w:t>20X1, the statement of comprehensive income, statement of changes in equity and statement of cash flows for the year then ended, and notes to the financial statements, including a summary of significant accounting policies</w:t>
      </w:r>
      <w:r>
        <w:t>, and the declaration by those charged with governance</w:t>
      </w:r>
      <w:r w:rsidRPr="00472A5A">
        <w:t>.</w:t>
      </w:r>
      <w:r w:rsidRPr="00BB5F68">
        <w:rPr>
          <w:rStyle w:val="FootnoteReference"/>
        </w:rPr>
        <w:footnoteReference w:customMarkFollows="1" w:id="11"/>
        <w:t>#</w:t>
      </w:r>
      <w:r>
        <w:t xml:space="preserve"> </w:t>
      </w:r>
    </w:p>
    <w:p w14:paraId="3332D4C3" w14:textId="77777777" w:rsidR="009A7882" w:rsidRPr="00472A5A" w:rsidRDefault="009A7882" w:rsidP="009A7882">
      <w:pPr>
        <w:pStyle w:val="ParaPlain"/>
      </w:pPr>
      <w:r w:rsidRPr="00472A5A">
        <w:t xml:space="preserve">In our opinion, the accompanying financial </w:t>
      </w:r>
      <w:r>
        <w:t>report</w:t>
      </w:r>
      <w:r w:rsidRPr="00472A5A">
        <w:t xml:space="preserve"> present</w:t>
      </w:r>
      <w:r>
        <w:t>s</w:t>
      </w:r>
      <w:r w:rsidRPr="00472A5A">
        <w:t xml:space="preserve"> fairly, in all material respects, (or </w:t>
      </w:r>
      <w:r w:rsidRPr="00AD762F">
        <w:rPr>
          <w:i/>
        </w:rPr>
        <w:t>gives</w:t>
      </w:r>
      <w:r w:rsidRPr="00AD762F">
        <w:t xml:space="preserve"> </w:t>
      </w:r>
      <w:r w:rsidRPr="00AD762F">
        <w:rPr>
          <w:i/>
        </w:rPr>
        <w:t>a</w:t>
      </w:r>
      <w:r w:rsidRPr="00472A5A">
        <w:t xml:space="preserve"> </w:t>
      </w:r>
      <w:r w:rsidRPr="00703590">
        <w:rPr>
          <w:i/>
        </w:rPr>
        <w:t>true</w:t>
      </w:r>
      <w:r w:rsidRPr="00472A5A">
        <w:t xml:space="preserve"> </w:t>
      </w:r>
      <w:r w:rsidRPr="00703590">
        <w:rPr>
          <w:i/>
        </w:rPr>
        <w:t>and</w:t>
      </w:r>
      <w:r w:rsidRPr="00472A5A">
        <w:t xml:space="preserve"> </w:t>
      </w:r>
      <w:r w:rsidRPr="00703590">
        <w:rPr>
          <w:i/>
        </w:rPr>
        <w:t>fair</w:t>
      </w:r>
      <w:r w:rsidRPr="00472A5A">
        <w:t xml:space="preserve"> </w:t>
      </w:r>
      <w:r w:rsidRPr="00703590">
        <w:rPr>
          <w:i/>
        </w:rPr>
        <w:t>view</w:t>
      </w:r>
      <w:r w:rsidRPr="00472A5A">
        <w:t xml:space="preserve"> </w:t>
      </w:r>
      <w:r w:rsidRPr="00703590">
        <w:rPr>
          <w:i/>
        </w:rPr>
        <w:t>of</w:t>
      </w:r>
      <w:r w:rsidRPr="00472A5A">
        <w:t xml:space="preserve">) the financial position of the </w:t>
      </w:r>
      <w:r>
        <w:t>Entity</w:t>
      </w:r>
      <w:r w:rsidRPr="00472A5A">
        <w:t xml:space="preserve"> as at </w:t>
      </w:r>
      <w:r>
        <w:t>30 June </w:t>
      </w:r>
      <w:r w:rsidRPr="00472A5A">
        <w:t>20X1, and (</w:t>
      </w:r>
      <w:r w:rsidRPr="00703590">
        <w:rPr>
          <w:i/>
        </w:rPr>
        <w:t>of</w:t>
      </w:r>
      <w:r w:rsidRPr="00472A5A">
        <w:t xml:space="preserve">) its financial </w:t>
      </w:r>
      <w:r w:rsidRPr="00472A5A">
        <w:lastRenderedPageBreak/>
        <w:t xml:space="preserve">performance and its cash flows for the year then ended in accordance with </w:t>
      </w:r>
      <w:r>
        <w:t>Australian Accounting</w:t>
      </w:r>
      <w:r w:rsidRPr="00472A5A">
        <w:t xml:space="preserve"> Standards.</w:t>
      </w:r>
    </w:p>
    <w:p w14:paraId="40190FB6" w14:textId="77777777" w:rsidR="009A7882" w:rsidRPr="00472A5A" w:rsidRDefault="009A7882" w:rsidP="009A7882">
      <w:pPr>
        <w:pStyle w:val="Heading6"/>
      </w:pPr>
      <w:r w:rsidRPr="00703590">
        <w:t>Basis</w:t>
      </w:r>
      <w:r w:rsidRPr="00472A5A">
        <w:t xml:space="preserve"> </w:t>
      </w:r>
      <w:r w:rsidRPr="00703590">
        <w:t>for</w:t>
      </w:r>
      <w:r w:rsidRPr="00472A5A">
        <w:t xml:space="preserve"> </w:t>
      </w:r>
      <w:r w:rsidRPr="00703590">
        <w:t>Opinion</w:t>
      </w:r>
      <w:r w:rsidRPr="00472A5A">
        <w:t xml:space="preserve"> </w:t>
      </w:r>
    </w:p>
    <w:p w14:paraId="1C7C8EEA" w14:textId="12385AC9" w:rsidR="009A7882" w:rsidRPr="00472A5A" w:rsidRDefault="009A7882" w:rsidP="009A7882">
      <w:pPr>
        <w:pStyle w:val="ParaPlain"/>
      </w:pPr>
      <w:r w:rsidRPr="00472A5A">
        <w:t xml:space="preserve">We conducted our audit in accordance with </w:t>
      </w:r>
      <w:r>
        <w:t>Australian</w:t>
      </w:r>
      <w:r w:rsidRPr="00472A5A">
        <w:t xml:space="preserve"> Auditing </w:t>
      </w:r>
      <w:r>
        <w:t>Standards</w:t>
      </w:r>
      <w:r w:rsidRPr="00472A5A">
        <w:t>.</w:t>
      </w:r>
      <w:r>
        <w:t xml:space="preserve">  </w:t>
      </w:r>
      <w:r w:rsidRPr="00472A5A">
        <w:t xml:space="preserve">Our 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report.</w:t>
      </w:r>
      <w:r>
        <w:t xml:space="preserve">  </w:t>
      </w:r>
      <w:r w:rsidRPr="00472A5A">
        <w:t xml:space="preserve">We are independent of the </w:t>
      </w:r>
      <w:r>
        <w:t>Entity</w:t>
      </w:r>
      <w:r w:rsidRPr="00472A5A">
        <w:t xml:space="preserve"> in accordance with the ethical requirements </w:t>
      </w:r>
      <w:r>
        <w:rPr>
          <w:szCs w:val="24"/>
        </w:rPr>
        <w:t xml:space="preserve">of 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Pr>
          <w:i/>
          <w:szCs w:val="24"/>
        </w:rPr>
        <w:t xml:space="preserve"> </w:t>
      </w:r>
      <w:r>
        <w:rPr>
          <w:szCs w:val="24"/>
        </w:rPr>
        <w:t xml:space="preserve">(the Code) </w:t>
      </w:r>
      <w:r w:rsidRPr="00472A5A">
        <w:t xml:space="preserve">that are relevant to our audit of the financial </w:t>
      </w:r>
      <w:r>
        <w:t>report</w:t>
      </w:r>
      <w:r w:rsidRPr="00472A5A">
        <w:t xml:space="preserve"> in </w:t>
      </w:r>
      <w:r>
        <w:t>Australia.  W</w:t>
      </w:r>
      <w:r w:rsidRPr="00472A5A">
        <w:t xml:space="preserve">e have </w:t>
      </w:r>
      <w:r>
        <w:t xml:space="preserve">also </w:t>
      </w:r>
      <w:r w:rsidRPr="00472A5A">
        <w:t>fulfilled our other ethical responsibilities in accordance with the</w:t>
      </w:r>
      <w:r>
        <w:t xml:space="preserve"> Code</w:t>
      </w:r>
      <w:r w:rsidRPr="00472A5A">
        <w:t>.</w:t>
      </w:r>
      <w:r>
        <w:t xml:space="preserve">  </w:t>
      </w:r>
      <w:r w:rsidRPr="00472A5A">
        <w:t>We believe that the audit evidence we have obtained is sufficient and appropriate to provide a basis for our opinion.</w:t>
      </w:r>
      <w:r>
        <w:t xml:space="preserve"> </w:t>
      </w:r>
    </w:p>
    <w:p w14:paraId="718359A8" w14:textId="77777777" w:rsidR="009A7882" w:rsidRPr="001D08C7" w:rsidRDefault="009A7882" w:rsidP="009A7882">
      <w:pPr>
        <w:pStyle w:val="Heading6"/>
      </w:pPr>
      <w:r>
        <w:t xml:space="preserve">Other Information </w:t>
      </w:r>
      <w:r w:rsidRPr="003B3141">
        <w:t>[or another title if appropriate such as “Information Other than the Financial Report and Auditor’s Report Thereon”]</w:t>
      </w:r>
    </w:p>
    <w:p w14:paraId="57137A24" w14:textId="77777777" w:rsidR="009A7882" w:rsidRPr="003B3141" w:rsidRDefault="009A7882" w:rsidP="009A7882">
      <w:pPr>
        <w:spacing w:after="200"/>
        <w:outlineLvl w:val="0"/>
        <w:rPr>
          <w:rFonts w:eastAsia="Calibri"/>
          <w:i/>
        </w:rPr>
      </w:pPr>
      <w:r w:rsidRPr="003B3141">
        <w:rPr>
          <w:rFonts w:eastAsia="Calibri"/>
          <w:i/>
        </w:rPr>
        <w:t>[Reporting in accordance with the reporting requirements in ASA 720 – see [</w:t>
      </w:r>
      <w:proofErr w:type="spellStart"/>
      <w:r w:rsidRPr="003B3141">
        <w:rPr>
          <w:rFonts w:eastAsia="Calibri"/>
          <w:i/>
        </w:rPr>
        <w:t>Aus</w:t>
      </w:r>
      <w:proofErr w:type="spellEnd"/>
      <w:r w:rsidRPr="003B3141">
        <w:rPr>
          <w:rFonts w:eastAsia="Calibri"/>
          <w:i/>
        </w:rPr>
        <w:t>] Illustration 1A in Appendix 3 of ASA 720.]</w:t>
      </w:r>
    </w:p>
    <w:p w14:paraId="21419783" w14:textId="77777777" w:rsidR="009A7882" w:rsidRDefault="009A7882" w:rsidP="009A7882">
      <w:pPr>
        <w:pStyle w:val="ParaPlain"/>
      </w:pPr>
      <w:r>
        <w:t xml:space="preserve">Those charged with governance are responsible for the other information.  The other information comprises the </w:t>
      </w:r>
      <w:r w:rsidRPr="0032204B">
        <w:t xml:space="preserve">information </w:t>
      </w:r>
      <w:r w:rsidRPr="003B3141">
        <w:t>included</w:t>
      </w:r>
      <w:r>
        <w:t xml:space="preserve"> in the Entity’s annual report for the year ended 30 June 20X1, but does not include the financial report and </w:t>
      </w:r>
      <w:r w:rsidRPr="003B3141">
        <w:t>our</w:t>
      </w:r>
      <w:r>
        <w:t xml:space="preserve"> auditor’s report thereon.</w:t>
      </w:r>
    </w:p>
    <w:p w14:paraId="6C5E4DA9"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78D63AC3"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4D993A1C"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0A5713F9" w14:textId="77777777" w:rsidR="009A7882" w:rsidRPr="00472A5A" w:rsidRDefault="009A7882" w:rsidP="009A7882">
      <w:pPr>
        <w:pStyle w:val="Heading6"/>
      </w:pPr>
      <w:r w:rsidRPr="00703590">
        <w:t>Responsibilities</w:t>
      </w:r>
      <w:r w:rsidRPr="00472A5A">
        <w:t xml:space="preserve"> </w:t>
      </w:r>
      <w:r w:rsidRPr="00703590">
        <w:t>of</w:t>
      </w:r>
      <w:r w:rsidRPr="00472A5A">
        <w:t xml:space="preserve"> </w:t>
      </w:r>
      <w:r w:rsidRPr="00703590">
        <w:t>Management</w:t>
      </w:r>
      <w:r w:rsidRPr="00472A5A">
        <w:t xml:space="preserve"> </w:t>
      </w:r>
      <w:r w:rsidRPr="00703590">
        <w:t>and</w:t>
      </w:r>
      <w:r w:rsidRPr="00472A5A">
        <w:t xml:space="preserve"> </w:t>
      </w:r>
      <w:r w:rsidRPr="00703590">
        <w:t>Those</w:t>
      </w:r>
      <w:r w:rsidRPr="00472A5A">
        <w:t xml:space="preserve"> </w:t>
      </w:r>
      <w:r w:rsidRPr="00703590">
        <w:t>Charged</w:t>
      </w:r>
      <w:r w:rsidRPr="00472A5A">
        <w:t xml:space="preserve"> </w:t>
      </w:r>
      <w:r w:rsidRPr="00703590">
        <w:t>with</w:t>
      </w:r>
      <w:r w:rsidRPr="00472A5A">
        <w:t xml:space="preserve"> </w:t>
      </w:r>
      <w:r w:rsidRPr="00703590">
        <w:t>Governance</w:t>
      </w:r>
      <w:r w:rsidRPr="00472A5A">
        <w:t xml:space="preserve"> </w:t>
      </w:r>
      <w:r w:rsidRPr="00703590">
        <w:t>for</w:t>
      </w:r>
      <w:r w:rsidRPr="00472A5A">
        <w:t xml:space="preserve"> </w:t>
      </w:r>
      <w:r w:rsidRPr="00703590">
        <w:t>the</w:t>
      </w:r>
      <w:r w:rsidRPr="00472A5A">
        <w:t xml:space="preserve"> </w:t>
      </w:r>
      <w:r w:rsidRPr="00703590">
        <w:t>Financial</w:t>
      </w:r>
      <w:r w:rsidRPr="00472A5A">
        <w:t xml:space="preserve"> </w:t>
      </w:r>
      <w:r>
        <w:t>Report</w:t>
      </w:r>
      <w:r w:rsidRPr="00BB5F68">
        <w:rPr>
          <w:rStyle w:val="FootnoteReference"/>
        </w:rPr>
        <w:footnoteReference w:id="12"/>
      </w:r>
      <w:r w:rsidRPr="00472A5A">
        <w:t xml:space="preserve"> </w:t>
      </w:r>
    </w:p>
    <w:p w14:paraId="49A5FC17" w14:textId="77777777" w:rsidR="009A7882" w:rsidRPr="00472A5A" w:rsidRDefault="009A7882" w:rsidP="009A7882">
      <w:pPr>
        <w:pStyle w:val="ParaPlain"/>
      </w:pPr>
      <w:r w:rsidRPr="00472A5A">
        <w:t xml:space="preserve">Management is responsible for the preparation and fair presentation of the financial </w:t>
      </w:r>
      <w:r>
        <w:t>report</w:t>
      </w:r>
      <w:r w:rsidRPr="00472A5A">
        <w:t xml:space="preserve"> in accordance with </w:t>
      </w:r>
      <w:r>
        <w:t>Australian Accounting Standards,</w:t>
      </w:r>
      <w:r w:rsidRPr="00BB5F68">
        <w:rPr>
          <w:rStyle w:val="FootnoteReference"/>
        </w:rPr>
        <w:footnoteReference w:id="13"/>
      </w:r>
      <w:r w:rsidRPr="00472A5A">
        <w:t xml:space="preserve"> and for such internal control as management determines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7FC4E6E0" w14:textId="77777777" w:rsidR="009A7882" w:rsidRPr="00472A5A" w:rsidRDefault="009A7882" w:rsidP="009A7882">
      <w:pPr>
        <w:pStyle w:val="ParaPlain"/>
      </w:pPr>
      <w:r w:rsidRPr="00472A5A">
        <w:t xml:space="preserve">In preparing the financial </w:t>
      </w:r>
      <w:r>
        <w:t>report</w:t>
      </w:r>
      <w:r w:rsidRPr="00472A5A">
        <w:t xml:space="preserve">, management is responsible for assessing the </w:t>
      </w:r>
      <w:r>
        <w:t>Entity’s</w:t>
      </w:r>
      <w:r w:rsidRPr="00472A5A">
        <w:t xml:space="preserve"> ability to continue as a going concern, disclosing, as applicable, matters related to going concern and using the going concern basis of accounting unless management either intends to liquidate the </w:t>
      </w:r>
      <w:r>
        <w:t>Entity</w:t>
      </w:r>
      <w:r w:rsidRPr="00472A5A">
        <w:t xml:space="preserve"> or to cease operations, or has no realistic alternative but to do so.</w:t>
      </w:r>
    </w:p>
    <w:p w14:paraId="3FDA2E7D" w14:textId="77777777" w:rsidR="009A7882" w:rsidRPr="00472A5A" w:rsidRDefault="009A7882" w:rsidP="009A7882">
      <w:pPr>
        <w:pStyle w:val="ParaPlain"/>
      </w:pPr>
      <w:r w:rsidRPr="00472A5A">
        <w:t xml:space="preserve">Those charged with governance are responsible for overseeing the </w:t>
      </w:r>
      <w:r>
        <w:t>Entity’s</w:t>
      </w:r>
      <w:r w:rsidRPr="00472A5A">
        <w:t xml:space="preserve"> financial reporting process.</w:t>
      </w:r>
      <w:r>
        <w:t xml:space="preserve"> </w:t>
      </w:r>
    </w:p>
    <w:p w14:paraId="303648DA" w14:textId="77777777" w:rsidR="009A7882" w:rsidRPr="00472A5A" w:rsidRDefault="009A7882" w:rsidP="009A7882">
      <w:pPr>
        <w:pStyle w:val="Heading6"/>
      </w:pPr>
      <w:r w:rsidRPr="00703590">
        <w:t>Auditor’s</w:t>
      </w:r>
      <w:r w:rsidRPr="00472A5A">
        <w:t xml:space="preserve"> </w:t>
      </w:r>
      <w:r w:rsidRPr="00703590">
        <w:t>Responsibilities</w:t>
      </w:r>
      <w:r w:rsidRPr="00472A5A">
        <w:t xml:space="preserve"> </w:t>
      </w:r>
      <w:r w:rsidRPr="00703590">
        <w:t>for</w:t>
      </w:r>
      <w:r w:rsidRPr="00472A5A">
        <w:t xml:space="preserve"> </w:t>
      </w:r>
      <w:r w:rsidRPr="00703590">
        <w:t>the</w:t>
      </w:r>
      <w:r w:rsidRPr="00472A5A">
        <w:t xml:space="preserve"> </w:t>
      </w:r>
      <w:r w:rsidRPr="00703590">
        <w:t>Audit</w:t>
      </w:r>
      <w:r w:rsidRPr="00472A5A">
        <w:t xml:space="preserve"> </w:t>
      </w:r>
      <w:r w:rsidRPr="00703590">
        <w:t>of</w:t>
      </w:r>
      <w:r w:rsidRPr="00472A5A">
        <w:t xml:space="preserve"> </w:t>
      </w:r>
      <w:r w:rsidRPr="00703590">
        <w:t>the</w:t>
      </w:r>
      <w:r w:rsidRPr="00472A5A">
        <w:t xml:space="preserve"> </w:t>
      </w:r>
      <w:r w:rsidRPr="00703590">
        <w:t>Financial</w:t>
      </w:r>
      <w:r w:rsidRPr="00472A5A">
        <w:t xml:space="preserve"> </w:t>
      </w:r>
      <w:r>
        <w:t>Report</w:t>
      </w:r>
      <w:r w:rsidRPr="00472A5A">
        <w:t xml:space="preserve"> </w:t>
      </w:r>
    </w:p>
    <w:p w14:paraId="2D95AC10" w14:textId="77777777" w:rsidR="009A7882" w:rsidRDefault="009A7882" w:rsidP="009A7882">
      <w:pPr>
        <w:pStyle w:val="ParaPlain"/>
      </w:pPr>
      <w:r w:rsidRPr="00472A5A">
        <w:t xml:space="preserve">Our objectives are to obtain reasonable assurance about whether the financial </w:t>
      </w:r>
      <w:r>
        <w:t>report</w:t>
      </w:r>
      <w:r w:rsidRPr="00472A5A">
        <w:t xml:space="preserve"> as a whole </w:t>
      </w:r>
      <w:r>
        <w:t>is</w:t>
      </w:r>
      <w:r w:rsidRPr="00472A5A">
        <w:t xml:space="preserve"> free from material misstatement, whether due to fraud or error, and to issue an auditor’s report that includes our 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w:t>
      </w:r>
      <w:r w:rsidRPr="00472A5A">
        <w:lastRenderedPageBreak/>
        <w:t>misstatement when it exists.</w:t>
      </w:r>
      <w:r>
        <w:t xml:space="preserve">  </w:t>
      </w:r>
      <w:r w:rsidRPr="00472A5A">
        <w:t xml:space="preserve">Misstatements can arise from fraud or error and are considered material if, individually or in the aggregate, they could reasonably be expected to influence the economic decisions of users taken on the basis of the financial </w:t>
      </w:r>
      <w:r>
        <w:t>report</w:t>
      </w:r>
      <w:r w:rsidRPr="00472A5A">
        <w:t>.</w:t>
      </w:r>
      <w:r>
        <w:t xml:space="preserve">  </w:t>
      </w:r>
    </w:p>
    <w:p w14:paraId="61F6A59F" w14:textId="5113DDA3" w:rsidR="009A7882" w:rsidRPr="00472A5A" w:rsidRDefault="009A7882" w:rsidP="009A7882">
      <w:pPr>
        <w:pStyle w:val="ParaPlain"/>
      </w:pPr>
      <w:r w:rsidRPr="0032204B">
        <w:t>[</w:t>
      </w:r>
      <w:r w:rsidRPr="0032204B">
        <w:rPr>
          <w:rStyle w:val="RefParas"/>
          <w:sz w:val="22"/>
          <w:szCs w:val="22"/>
        </w:rPr>
        <w:t xml:space="preserve">A further description of our responsibilities for the audit of the financial report is located at the Auditing and Assurance Standards Board website at: </w:t>
      </w:r>
      <w:hyperlink r:id="rId15" w:tooltip="AUASB website" w:history="1">
        <w:r w:rsidRPr="0032204B">
          <w:rPr>
            <w:rStyle w:val="Hyperlink"/>
            <w:szCs w:val="22"/>
          </w:rPr>
          <w:t>http://www.auasb.gov.au/Home.aspx</w:t>
        </w:r>
      </w:hyperlink>
      <w:r w:rsidRPr="0032204B">
        <w:rPr>
          <w:rStyle w:val="Hyperlink"/>
          <w:szCs w:val="22"/>
        </w:rPr>
        <w:t>.</w:t>
      </w:r>
      <w:r w:rsidRPr="0032204B">
        <w:rPr>
          <w:rStyle w:val="RefParas"/>
          <w:sz w:val="22"/>
          <w:szCs w:val="22"/>
        </w:rPr>
        <w:t xml:space="preserve"> </w:t>
      </w:r>
      <w:r>
        <w:rPr>
          <w:rStyle w:val="RefParas"/>
          <w:sz w:val="22"/>
          <w:szCs w:val="22"/>
        </w:rPr>
        <w:t xml:space="preserve"> </w:t>
      </w:r>
      <w:r w:rsidRPr="0032204B">
        <w:rPr>
          <w:rStyle w:val="RefParas"/>
          <w:sz w:val="22"/>
          <w:szCs w:val="22"/>
        </w:rPr>
        <w:t>This description forms part of our auditor’s report.]</w:t>
      </w:r>
    </w:p>
    <w:p w14:paraId="4E3CAD5C"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D97AAB">
        <w:rPr>
          <w:sz w:val="18"/>
          <w:szCs w:val="18"/>
        </w:rPr>
        <w:t>41(</w:t>
      </w:r>
      <w:r w:rsidRPr="00F43681">
        <w:rPr>
          <w:sz w:val="18"/>
          <w:szCs w:val="18"/>
        </w:rPr>
        <w:t>b) explains that the shaded material below can be located in an Appendix to the auditor’s report.</w:t>
      </w:r>
      <w:r>
        <w:rPr>
          <w:sz w:val="18"/>
          <w:szCs w:val="18"/>
        </w:rPr>
        <w:t xml:space="preserve">  </w:t>
      </w:r>
    </w:p>
    <w:p w14:paraId="08D39225" w14:textId="022A8797" w:rsidR="009A7882" w:rsidRPr="00F43681" w:rsidRDefault="001C2921" w:rsidP="009A7882">
      <w:pPr>
        <w:shd w:val="clear" w:color="auto" w:fill="BFBFBF" w:themeFill="background1" w:themeFillShade="BF"/>
        <w:spacing w:after="200"/>
        <w:rPr>
          <w:sz w:val="18"/>
          <w:szCs w:val="18"/>
        </w:rPr>
      </w:pPr>
      <w:r w:rsidRPr="00D97AAB">
        <w:rPr>
          <w:sz w:val="18"/>
          <w:szCs w:val="18"/>
        </w:rPr>
        <w:t>Paragraph</w:t>
      </w:r>
      <w:r>
        <w:rPr>
          <w:sz w:val="18"/>
          <w:szCs w:val="18"/>
        </w:rPr>
        <w:t> </w:t>
      </w:r>
      <w:r w:rsidRPr="00D97AAB">
        <w:rPr>
          <w:sz w:val="18"/>
          <w:szCs w:val="18"/>
        </w:rPr>
        <w:t>4</w:t>
      </w:r>
      <w:r w:rsidR="009A7882" w:rsidRPr="00D97AAB">
        <w:rPr>
          <w:sz w:val="18"/>
          <w:szCs w:val="18"/>
        </w:rPr>
        <w:t xml:space="preserve">1(c)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16" w:tooltip="AUASB website" w:history="1">
        <w:r w:rsidR="009A7882" w:rsidRPr="003B3141">
          <w:rPr>
            <w:rStyle w:val="Hyperlink"/>
            <w:sz w:val="18"/>
            <w:szCs w:val="18"/>
          </w:rPr>
          <w:t>http://www.auasb.gov.au/Home.aspx</w:t>
        </w:r>
      </w:hyperlink>
      <w:r w:rsidR="009A7882" w:rsidRPr="00D97AAB">
        <w:rPr>
          <w:rStyle w:val="Hyperlink"/>
          <w:szCs w:val="22"/>
        </w:rPr>
        <w:t xml:space="preserve"> </w:t>
      </w:r>
      <w:r w:rsidR="009A7882" w:rsidRPr="00D97AAB">
        <w:rPr>
          <w:rStyle w:val="RefParas"/>
        </w:rPr>
        <w:t>(</w:t>
      </w:r>
      <w:r w:rsidR="00BB5F68">
        <w:rPr>
          <w:rStyle w:val="RefParas"/>
        </w:rPr>
        <w:t>Ref: Para. </w:t>
      </w:r>
      <w:proofErr w:type="spellStart"/>
      <w:r w:rsidR="009A7882" w:rsidRPr="00D97AAB">
        <w:rPr>
          <w:rStyle w:val="RefParas"/>
        </w:rPr>
        <w:t>Aus</w:t>
      </w:r>
      <w:proofErr w:type="spellEnd"/>
      <w:r w:rsidR="009A7882" w:rsidRPr="00D97AAB">
        <w:rPr>
          <w:rStyle w:val="RefParas"/>
        </w:rPr>
        <w:t xml:space="preserve"> </w:t>
      </w:r>
      <w:r w:rsidR="009A7882" w:rsidRPr="003B3141">
        <w:rPr>
          <w:rStyle w:val="RefParas"/>
        </w:rPr>
        <w:t>A57</w:t>
      </w:r>
      <w:r w:rsidR="009A7882" w:rsidRPr="00D97AAB">
        <w:rPr>
          <w:rStyle w:val="RefParas"/>
        </w:rPr>
        <w:t>.1)</w:t>
      </w:r>
    </w:p>
    <w:p w14:paraId="379A4240"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33EC5C8E"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0DA77C1F"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sz w:val="18"/>
          <w:szCs w:val="18"/>
        </w:rPr>
        <w:t>Entity’s</w:t>
      </w:r>
      <w:r w:rsidRPr="00F43681">
        <w:rPr>
          <w:sz w:val="18"/>
          <w:szCs w:val="18"/>
        </w:rPr>
        <w:t xml:space="preserve"> internal control.</w:t>
      </w:r>
    </w:p>
    <w:p w14:paraId="6D515E24"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appropriateness of accounting policies used and the reasonableness of accounting estimates and related disclosures made by management.</w:t>
      </w:r>
    </w:p>
    <w:p w14:paraId="659583B6"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Pr>
          <w:sz w:val="18"/>
          <w:szCs w:val="18"/>
        </w:rPr>
        <w:t>Entity’s</w:t>
      </w:r>
      <w:r w:rsidRPr="00F43681">
        <w:rPr>
          <w:sz w:val="18"/>
          <w:szCs w:val="18"/>
        </w:rPr>
        <w:t xml:space="preserve"> 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w:t>
      </w:r>
      <w:r>
        <w:rPr>
          <w:sz w:val="18"/>
          <w:szCs w:val="18"/>
        </w:rPr>
        <w:t xml:space="preserve"> </w:t>
      </w:r>
      <w:r w:rsidRPr="00F43681">
        <w:rPr>
          <w:sz w:val="18"/>
          <w:szCs w:val="18"/>
        </w:rPr>
        <w:t xml:space="preserve">However, future events or conditions may cause the </w:t>
      </w:r>
      <w:r>
        <w:rPr>
          <w:sz w:val="18"/>
          <w:szCs w:val="18"/>
        </w:rPr>
        <w:t>Entity</w:t>
      </w:r>
      <w:r w:rsidRPr="00F43681">
        <w:rPr>
          <w:sz w:val="18"/>
          <w:szCs w:val="18"/>
        </w:rPr>
        <w:t xml:space="preserve"> to cease to continue as a going concern.</w:t>
      </w:r>
    </w:p>
    <w:p w14:paraId="33EAC80A"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overall presentation, structure and content of the financial report, including the disclosures, and whether the financial report represents the underlying transactions and events in a manner that achieves fair presentation.</w:t>
      </w:r>
    </w:p>
    <w:p w14:paraId="51090930" w14:textId="77777777" w:rsidR="009A7882" w:rsidRPr="00F43681" w:rsidRDefault="009A7882" w:rsidP="009A7882">
      <w:pPr>
        <w:shd w:val="clear" w:color="auto" w:fill="BFBFBF" w:themeFill="background1" w:themeFillShade="BF"/>
        <w:autoSpaceDE w:val="0"/>
        <w:autoSpaceDN w:val="0"/>
        <w:adjustRightInd w:val="0"/>
        <w:spacing w:line="240" w:lineRule="auto"/>
        <w:rPr>
          <w:sz w:val="18"/>
          <w:szCs w:val="18"/>
          <w:lang w:eastAsia="en-AU"/>
        </w:rPr>
      </w:pPr>
      <w:r w:rsidRPr="00F43681">
        <w:rPr>
          <w:sz w:val="18"/>
          <w:szCs w:val="18"/>
          <w:lang w:eastAsia="en-AU"/>
        </w:rPr>
        <w:t>We communicate with those charged with governance regarding, among other matters, the planned scope and timing of the audit and significant audit findings, including any significant deficiencies in internal control that we identify during our audit.</w:t>
      </w:r>
    </w:p>
    <w:p w14:paraId="62B2634E" w14:textId="77777777" w:rsidR="009A7882" w:rsidRPr="00F43681" w:rsidRDefault="009A7882" w:rsidP="009A7882">
      <w:pPr>
        <w:shd w:val="clear" w:color="auto" w:fill="BFBFBF" w:themeFill="background1" w:themeFillShade="BF"/>
        <w:autoSpaceDE w:val="0"/>
        <w:autoSpaceDN w:val="0"/>
        <w:adjustRightInd w:val="0"/>
        <w:spacing w:after="480" w:line="240" w:lineRule="auto"/>
        <w:jc w:val="both"/>
        <w:rPr>
          <w:sz w:val="18"/>
          <w:szCs w:val="18"/>
          <w:lang w:eastAsia="en-AU"/>
        </w:rPr>
      </w:pPr>
    </w:p>
    <w:p w14:paraId="7098A49D" w14:textId="77777777" w:rsidR="009A7882" w:rsidRDefault="009A7882" w:rsidP="009A7882">
      <w:pPr>
        <w:pStyle w:val="ParaPlain"/>
        <w:rPr>
          <w:szCs w:val="24"/>
          <w:lang w:eastAsia="en-AU"/>
        </w:rPr>
      </w:pPr>
      <w:r w:rsidRPr="00F43681">
        <w:rPr>
          <w:szCs w:val="24"/>
          <w:lang w:eastAsia="en-AU"/>
        </w:rPr>
        <w:t>[</w:t>
      </w:r>
      <w:r w:rsidRPr="009835EE">
        <w:rPr>
          <w:i/>
          <w:szCs w:val="24"/>
          <w:lang w:eastAsia="en-AU"/>
        </w:rPr>
        <w:t>S</w:t>
      </w:r>
      <w:r w:rsidRPr="00D97AAB">
        <w:rPr>
          <w:i/>
          <w:szCs w:val="24"/>
          <w:lang w:eastAsia="en-AU"/>
        </w:rPr>
        <w:t>i</w:t>
      </w:r>
      <w:r w:rsidRPr="000A5848">
        <w:rPr>
          <w:i/>
          <w:szCs w:val="24"/>
          <w:lang w:eastAsia="en-AU"/>
        </w:rPr>
        <w:t>gnature</w:t>
      </w:r>
      <w:r w:rsidRPr="000A5848">
        <w:rPr>
          <w:szCs w:val="24"/>
          <w:lang w:eastAsia="en-AU"/>
        </w:rPr>
        <w:t>]</w:t>
      </w:r>
      <w:r w:rsidRPr="00BB5F68">
        <w:rPr>
          <w:rStyle w:val="FootnoteReference"/>
        </w:rPr>
        <w:footnoteReference w:customMarkFollows="1" w:id="14"/>
        <w:t>*</w:t>
      </w:r>
    </w:p>
    <w:p w14:paraId="76D26F87" w14:textId="77777777" w:rsidR="00BB5F68" w:rsidRDefault="009A7882" w:rsidP="00A80FF2">
      <w:pPr>
        <w:spacing w:after="200"/>
      </w:pPr>
      <w:r w:rsidRPr="00AD6806">
        <w:rPr>
          <w:szCs w:val="24"/>
          <w:lang w:eastAsia="en-AU"/>
        </w:rPr>
        <w:t>[</w:t>
      </w:r>
      <w:r w:rsidRPr="009A617D">
        <w:rPr>
          <w:i/>
          <w:szCs w:val="24"/>
          <w:lang w:eastAsia="en-AU"/>
        </w:rPr>
        <w:t>Date of the auditor’s report</w:t>
      </w:r>
      <w:r w:rsidRPr="00AD6806">
        <w:rPr>
          <w:szCs w:val="24"/>
          <w:lang w:eastAsia="en-AU"/>
        </w:rPr>
        <w:t>]</w:t>
      </w:r>
      <w:r w:rsidR="00BB5F68" w:rsidRPr="00BB5F68">
        <w:rPr>
          <w:rStyle w:val="FootnoteReference"/>
        </w:rPr>
        <w:footnoteReference w:customMarkFollows="1" w:id="15"/>
        <w:t>#</w:t>
      </w:r>
    </w:p>
    <w:p w14:paraId="569CD890" w14:textId="69EA5746" w:rsidR="009A7882" w:rsidRPr="00F43681"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5A2CF942" w14:textId="77777777" w:rsidR="009A7882" w:rsidRDefault="009A7882" w:rsidP="009A7882">
      <w:pPr>
        <w:pStyle w:val="ParaPlain"/>
        <w:rPr>
          <w:sz w:val="20"/>
        </w:rPr>
      </w:pPr>
      <w:r w:rsidRPr="00094DCA">
        <w:rPr>
          <w:sz w:val="20"/>
        </w:rPr>
        <w:br w:type="page"/>
      </w:r>
    </w:p>
    <w:p w14:paraId="0A6336DE" w14:textId="77777777" w:rsidR="009A7882" w:rsidRPr="00AC6CBF" w:rsidRDefault="009A7882" w:rsidP="009A7882">
      <w:pPr>
        <w:keepNext/>
        <w:spacing w:after="200" w:line="260" w:lineRule="exact"/>
        <w:jc w:val="center"/>
        <w:outlineLvl w:val="4"/>
        <w:rPr>
          <w:rFonts w:cs="Arial"/>
          <w:b/>
          <w:bCs/>
          <w:sz w:val="26"/>
          <w:szCs w:val="26"/>
        </w:rPr>
      </w:pPr>
      <w:r w:rsidRPr="003B3141">
        <w:rPr>
          <w:rFonts w:cs="Arial"/>
          <w:b/>
          <w:bCs/>
          <w:sz w:val="26"/>
          <w:szCs w:val="26"/>
        </w:rPr>
        <w:lastRenderedPageBreak/>
        <w:t>Example Auditor’s Report</w:t>
      </w:r>
      <w:r w:rsidRPr="003B3141">
        <w:rPr>
          <w:rFonts w:cs="Arial"/>
          <w:b/>
          <w:bCs/>
          <w:sz w:val="26"/>
          <w:szCs w:val="26"/>
        </w:rPr>
        <w:br/>
        <w:t>Single Entity (not listed)</w:t>
      </w:r>
      <w:r w:rsidRPr="003B3141">
        <w:rPr>
          <w:rFonts w:cs="Arial"/>
          <w:b/>
          <w:bCs/>
          <w:sz w:val="26"/>
          <w:szCs w:val="26"/>
        </w:rPr>
        <w:br/>
        <w:t>(Compliance Framework)</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llustration 4"/>
        <w:tblDescription w:val="Narrative of Illustration 4"/>
      </w:tblPr>
      <w:tblGrid>
        <w:gridCol w:w="8953"/>
      </w:tblGrid>
      <w:tr w:rsidR="009A7882" w:rsidRPr="00472A5A" w14:paraId="2DF0B136" w14:textId="77777777" w:rsidTr="002B0B83">
        <w:trPr>
          <w:trHeight w:val="4770"/>
        </w:trPr>
        <w:tc>
          <w:tcPr>
            <w:tcW w:w="9179" w:type="dxa"/>
          </w:tcPr>
          <w:p w14:paraId="1B3C869E" w14:textId="77777777" w:rsidR="009A7882" w:rsidRPr="002E4A1E" w:rsidRDefault="009A7882" w:rsidP="002B0B83">
            <w:pPr>
              <w:pStyle w:val="ParaPlain"/>
              <w:spacing w:before="120"/>
            </w:pPr>
            <w:r w:rsidRPr="002E4A1E">
              <w:t>Illustration 4:</w:t>
            </w:r>
          </w:p>
          <w:p w14:paraId="7C051610" w14:textId="77777777" w:rsidR="009A7882" w:rsidRPr="00472A5A" w:rsidRDefault="009A7882" w:rsidP="002B0B83">
            <w:pPr>
              <w:pStyle w:val="ParaPlain"/>
            </w:pPr>
            <w:r w:rsidRPr="00472A5A">
              <w:br w:type="page"/>
              <w:t>For purposes of this illustrative auditor’s report, the following circumstances are assumed:</w:t>
            </w:r>
          </w:p>
          <w:p w14:paraId="6A2C6CA1" w14:textId="77777777" w:rsidR="009A7882" w:rsidRPr="00472A5A" w:rsidRDefault="009A7882" w:rsidP="009A7882">
            <w:pPr>
              <w:pStyle w:val="ListBullet"/>
              <w:numPr>
                <w:ilvl w:val="0"/>
                <w:numId w:val="1"/>
              </w:numPr>
              <w:tabs>
                <w:tab w:val="clear" w:pos="0"/>
                <w:tab w:val="num" w:pos="743"/>
              </w:tabs>
              <w:ind w:left="743"/>
            </w:pPr>
            <w:r w:rsidRPr="00472A5A">
              <w:t xml:space="preserve">Audit of a financial </w:t>
            </w:r>
            <w:r>
              <w:t>report</w:t>
            </w:r>
            <w:r w:rsidRPr="00472A5A">
              <w:t xml:space="preserve"> </w:t>
            </w:r>
            <w:r w:rsidRPr="006D648A">
              <w:t xml:space="preserve">of </w:t>
            </w:r>
            <w:r w:rsidRPr="00B8594D">
              <w:t>an entity other than a</w:t>
            </w:r>
            <w:r w:rsidRPr="00472A5A">
              <w:t xml:space="preserve"> listed entity required by law or regulation.</w:t>
            </w:r>
            <w:r>
              <w:t xml:space="preserve">  </w:t>
            </w:r>
            <w:r w:rsidRPr="00472A5A">
              <w:t xml:space="preserve">The audit is not a group audit (i.e., </w:t>
            </w:r>
            <w:r>
              <w:t>A</w:t>
            </w:r>
            <w:r w:rsidRPr="00472A5A">
              <w:t>SA</w:t>
            </w:r>
            <w:r>
              <w:t> </w:t>
            </w:r>
            <w:r w:rsidRPr="00472A5A">
              <w:t>600 does not apply).</w:t>
            </w:r>
          </w:p>
          <w:p w14:paraId="45505067" w14:textId="77777777" w:rsidR="009A7882" w:rsidRPr="00472A5A" w:rsidRDefault="009A7882" w:rsidP="009A7882">
            <w:pPr>
              <w:pStyle w:val="ListBullet"/>
              <w:numPr>
                <w:ilvl w:val="0"/>
                <w:numId w:val="1"/>
              </w:numPr>
              <w:tabs>
                <w:tab w:val="clear" w:pos="0"/>
                <w:tab w:val="num" w:pos="743"/>
              </w:tabs>
              <w:ind w:left="743"/>
            </w:pPr>
            <w:r w:rsidRPr="00472A5A">
              <w:t xml:space="preserve">The financial </w:t>
            </w:r>
            <w:r>
              <w:t>report</w:t>
            </w:r>
            <w:r w:rsidRPr="00472A5A">
              <w:t xml:space="preserve"> </w:t>
            </w:r>
            <w:r>
              <w:t>is</w:t>
            </w:r>
            <w:r w:rsidRPr="00472A5A">
              <w:t xml:space="preserv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a fair presentation framework).</w:t>
            </w:r>
            <w:r>
              <w:t xml:space="preserve">  </w:t>
            </w:r>
          </w:p>
          <w:p w14:paraId="3529592F" w14:textId="77777777" w:rsidR="009A7882" w:rsidRPr="00472A5A" w:rsidRDefault="009A7882" w:rsidP="009A7882">
            <w:pPr>
              <w:pStyle w:val="ListBullet"/>
              <w:numPr>
                <w:ilvl w:val="0"/>
                <w:numId w:val="1"/>
              </w:numPr>
              <w:tabs>
                <w:tab w:val="clear" w:pos="0"/>
                <w:tab w:val="num" w:pos="743"/>
              </w:tabs>
              <w:ind w:left="743"/>
            </w:pPr>
            <w:r w:rsidRPr="00472A5A">
              <w:t xml:space="preserve">The terms of the audit engagement reflect the description of management’s responsibility for the financial </w:t>
            </w:r>
            <w:r>
              <w:t>report</w:t>
            </w:r>
            <w:r w:rsidRPr="00472A5A">
              <w:t xml:space="preserve"> in </w:t>
            </w:r>
            <w:r>
              <w:t>A</w:t>
            </w:r>
            <w:r w:rsidRPr="00472A5A">
              <w:t>SA</w:t>
            </w:r>
            <w:r>
              <w:t> </w:t>
            </w:r>
            <w:r w:rsidRPr="00472A5A">
              <w:t>210.</w:t>
            </w:r>
          </w:p>
          <w:p w14:paraId="0E4F2AC8" w14:textId="77777777" w:rsidR="009A7882" w:rsidRPr="00472A5A" w:rsidRDefault="009A7882" w:rsidP="009A7882">
            <w:pPr>
              <w:pStyle w:val="ListBullet"/>
              <w:numPr>
                <w:ilvl w:val="0"/>
                <w:numId w:val="1"/>
              </w:numPr>
              <w:tabs>
                <w:tab w:val="clear" w:pos="0"/>
                <w:tab w:val="num" w:pos="743"/>
              </w:tabs>
              <w:ind w:left="743"/>
            </w:pPr>
            <w:r w:rsidRPr="00472A5A">
              <w:t>The auditor has concluded an unmodified (i.e., “clean”) opinion is appropriate based on the audit evidence obtained.</w:t>
            </w:r>
            <w:r>
              <w:t xml:space="preserve">  </w:t>
            </w:r>
          </w:p>
          <w:p w14:paraId="0E28F1CF" w14:textId="16FF8193" w:rsidR="009A7882" w:rsidRPr="00472A5A" w:rsidRDefault="009A7882" w:rsidP="009A7882">
            <w:pPr>
              <w:pStyle w:val="ListBullet"/>
              <w:numPr>
                <w:ilvl w:val="0"/>
                <w:numId w:val="1"/>
              </w:numPr>
              <w:tabs>
                <w:tab w:val="clear" w:pos="0"/>
                <w:tab w:val="num" w:pos="743"/>
              </w:tabs>
              <w:ind w:left="743"/>
            </w:pPr>
            <w:r w:rsidRPr="00472A5A">
              <w:t xml:space="preserve">The relevant ethical requirements that apply to the audit are </w:t>
            </w:r>
            <w:r>
              <w:rPr>
                <w:szCs w:val="24"/>
              </w:rPr>
              <w:t xml:space="preserve">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sidRPr="00472A5A">
              <w:t>.</w:t>
            </w:r>
          </w:p>
          <w:p w14:paraId="53D139B0" w14:textId="77777777" w:rsidR="009A7882" w:rsidRPr="00472A5A" w:rsidRDefault="009A7882" w:rsidP="009A7882">
            <w:pPr>
              <w:pStyle w:val="ListBullet"/>
              <w:numPr>
                <w:ilvl w:val="0"/>
                <w:numId w:val="1"/>
              </w:numPr>
              <w:tabs>
                <w:tab w:val="clear" w:pos="0"/>
                <w:tab w:val="num" w:pos="743"/>
              </w:tabs>
              <w:ind w:left="743"/>
            </w:pPr>
            <w:r w:rsidRPr="00472A5A">
              <w:t xml:space="preserve">Based on the audit evidence obtained, the auditor has concluded that a material uncertainty does not exist related to events or conditions that may cast significant doubt on the entity’s ability to continue as a going concern in accordance with </w:t>
            </w:r>
            <w:r>
              <w:t>A</w:t>
            </w:r>
            <w:r w:rsidRPr="00472A5A">
              <w:t>SA</w:t>
            </w:r>
            <w:r>
              <w:t> </w:t>
            </w:r>
            <w:r w:rsidRPr="00472A5A">
              <w:t>570.</w:t>
            </w:r>
          </w:p>
          <w:p w14:paraId="1C9EE437" w14:textId="77777777" w:rsidR="009A7882" w:rsidRDefault="009A7882" w:rsidP="009A7882">
            <w:pPr>
              <w:pStyle w:val="ListBullet"/>
              <w:numPr>
                <w:ilvl w:val="0"/>
                <w:numId w:val="1"/>
              </w:numPr>
              <w:tabs>
                <w:tab w:val="clear" w:pos="0"/>
                <w:tab w:val="num" w:pos="743"/>
              </w:tabs>
              <w:ind w:left="743"/>
            </w:pPr>
            <w:r w:rsidRPr="00472A5A">
              <w:t xml:space="preserve">The auditor is not required, and has otherwise not decided, to communicate key audit matters in accordance with </w:t>
            </w:r>
            <w:r>
              <w:t>A</w:t>
            </w:r>
            <w:r w:rsidRPr="00472A5A">
              <w:t>SA</w:t>
            </w:r>
            <w:r>
              <w:t> </w:t>
            </w:r>
            <w:r w:rsidRPr="00472A5A">
              <w:t>701.</w:t>
            </w:r>
          </w:p>
          <w:p w14:paraId="16A5CC34" w14:textId="77777777" w:rsidR="009A7882" w:rsidRPr="00472A5A" w:rsidRDefault="009A7882" w:rsidP="009A7882">
            <w:pPr>
              <w:pStyle w:val="ListBullet"/>
              <w:numPr>
                <w:ilvl w:val="0"/>
                <w:numId w:val="1"/>
              </w:numPr>
              <w:tabs>
                <w:tab w:val="clear" w:pos="0"/>
                <w:tab w:val="num" w:pos="743"/>
              </w:tabs>
              <w:ind w:left="743"/>
            </w:pPr>
            <w:r>
              <w:rPr>
                <w:szCs w:val="24"/>
              </w:rPr>
              <w:t>The auditor has obtained all of the other information prior to the date of the auditor’s report and has not identified a material misstatement of the other information.</w:t>
            </w:r>
          </w:p>
          <w:p w14:paraId="71979F89" w14:textId="77777777" w:rsidR="009A7882" w:rsidRPr="00472A5A" w:rsidRDefault="009A7882" w:rsidP="009A7882">
            <w:pPr>
              <w:pStyle w:val="ListBullet"/>
              <w:numPr>
                <w:ilvl w:val="0"/>
                <w:numId w:val="1"/>
              </w:numPr>
              <w:tabs>
                <w:tab w:val="clear" w:pos="0"/>
                <w:tab w:val="num" w:pos="743"/>
              </w:tabs>
              <w:ind w:left="743"/>
            </w:pPr>
            <w:r w:rsidRPr="00472A5A">
              <w:t xml:space="preserve">Those responsible for oversight of the financial </w:t>
            </w:r>
            <w:r>
              <w:t>report</w:t>
            </w:r>
            <w:r w:rsidRPr="00472A5A">
              <w:t xml:space="preserve"> differ from those responsible for the preparation of the financial </w:t>
            </w:r>
            <w:r>
              <w:t>report</w:t>
            </w:r>
            <w:r w:rsidRPr="00472A5A">
              <w:t>.</w:t>
            </w:r>
          </w:p>
          <w:p w14:paraId="60D030E5" w14:textId="77777777" w:rsidR="009A7882" w:rsidRPr="00472A5A" w:rsidRDefault="009A7882" w:rsidP="009A7882">
            <w:pPr>
              <w:pStyle w:val="ListBullet"/>
              <w:numPr>
                <w:ilvl w:val="0"/>
                <w:numId w:val="1"/>
              </w:numPr>
              <w:tabs>
                <w:tab w:val="clear" w:pos="0"/>
                <w:tab w:val="num" w:pos="743"/>
              </w:tabs>
              <w:ind w:left="743"/>
            </w:pPr>
            <w:r w:rsidRPr="00472A5A">
              <w:t>The auditor has no other reporting responsibilities required under local law.</w:t>
            </w:r>
          </w:p>
        </w:tc>
      </w:tr>
    </w:tbl>
    <w:p w14:paraId="05CB2D4D" w14:textId="77777777" w:rsidR="009A7882" w:rsidRPr="00616481" w:rsidRDefault="009A7882" w:rsidP="009A7882">
      <w:pPr>
        <w:pStyle w:val="Heading6"/>
        <w:spacing w:before="240"/>
        <w:rPr>
          <w:b w:val="0"/>
        </w:rPr>
      </w:pPr>
      <w:r w:rsidRPr="00616481">
        <w:rPr>
          <w:b w:val="0"/>
        </w:rPr>
        <w:t>INDEPENDENT AUDITOR’S REPORT</w:t>
      </w:r>
    </w:p>
    <w:p w14:paraId="5E959DCA" w14:textId="77777777" w:rsidR="009A7882" w:rsidRPr="00472A5A" w:rsidRDefault="009A7882" w:rsidP="009A7882">
      <w:pPr>
        <w:pStyle w:val="ParaPlain"/>
      </w:pPr>
      <w:r w:rsidRPr="00472A5A">
        <w:t xml:space="preserve">[Appropriate Addressee] </w:t>
      </w:r>
    </w:p>
    <w:p w14:paraId="2CD33EC7" w14:textId="77777777" w:rsidR="009A7882" w:rsidRPr="00472A5A" w:rsidRDefault="009A7882" w:rsidP="009A7882">
      <w:pPr>
        <w:pStyle w:val="Heading6"/>
      </w:pPr>
      <w:r w:rsidRPr="00703590">
        <w:t>Opinion</w:t>
      </w:r>
      <w:r w:rsidRPr="00472A5A">
        <w:t xml:space="preserve"> </w:t>
      </w:r>
    </w:p>
    <w:p w14:paraId="3F1C1D74" w14:textId="77777777" w:rsidR="009A7882" w:rsidRPr="00472A5A" w:rsidRDefault="009A7882" w:rsidP="009A7882">
      <w:pPr>
        <w:pStyle w:val="ParaPlain"/>
      </w:pPr>
      <w:r w:rsidRPr="00472A5A">
        <w:t xml:space="preserve">We have audited the financial </w:t>
      </w:r>
      <w:r>
        <w:t>report</w:t>
      </w:r>
      <w:r w:rsidRPr="00472A5A">
        <w:t xml:space="preserve"> of </w:t>
      </w:r>
      <w:r w:rsidRPr="00B8594D">
        <w:t>ABC Entity (the Entity), which comprises</w:t>
      </w:r>
      <w:r w:rsidRPr="00472A5A">
        <w:t xml:space="preserve"> the balance sheet as at </w:t>
      </w:r>
      <w:r>
        <w:t>30 June </w:t>
      </w:r>
      <w:r w:rsidRPr="00472A5A">
        <w:t>20X1, and the income statement, statement of changes in equity and cash flow statement for the year then ended, and notes to the financial statements, including a summary of significant accounting policies</w:t>
      </w:r>
      <w:r>
        <w:t>, and the declaration by those charged with governance</w:t>
      </w:r>
      <w:r w:rsidRPr="00472A5A">
        <w:t>.</w:t>
      </w:r>
      <w:r w:rsidRPr="00BB5F68">
        <w:rPr>
          <w:rStyle w:val="FootnoteReference"/>
        </w:rPr>
        <w:footnoteReference w:customMarkFollows="1" w:id="16"/>
        <w:t>#</w:t>
      </w:r>
    </w:p>
    <w:p w14:paraId="34A2B7B8" w14:textId="77777777" w:rsidR="009A7882" w:rsidRPr="00472A5A" w:rsidRDefault="009A7882" w:rsidP="009A7882">
      <w:pPr>
        <w:pStyle w:val="ParaPlain"/>
      </w:pPr>
      <w:r w:rsidRPr="00472A5A">
        <w:lastRenderedPageBreak/>
        <w:t xml:space="preserve">In our opinion, the accompanying financial </w:t>
      </w:r>
      <w:r>
        <w:t>report</w:t>
      </w:r>
      <w:r w:rsidRPr="00472A5A">
        <w:t xml:space="preserve"> of the </w:t>
      </w:r>
      <w:r>
        <w:t>Entity</w:t>
      </w:r>
      <w:r w:rsidRPr="00472A5A">
        <w:t xml:space="preserve"> </w:t>
      </w:r>
      <w:r>
        <w:t>is</w:t>
      </w:r>
      <w:r w:rsidRPr="00472A5A">
        <w:t xml:space="preserve"> prepared, in all material respects, in accordan</w:t>
      </w:r>
      <w:r>
        <w:t>ce with XYZ Law of Jurisdiction </w:t>
      </w:r>
      <w:r w:rsidRPr="00472A5A">
        <w:t>X.</w:t>
      </w:r>
      <w:r>
        <w:t xml:space="preserve">  </w:t>
      </w:r>
    </w:p>
    <w:p w14:paraId="616ED9BF" w14:textId="77777777" w:rsidR="009A7882" w:rsidRPr="00472A5A" w:rsidRDefault="009A7882" w:rsidP="009A7882">
      <w:pPr>
        <w:pStyle w:val="Heading6"/>
      </w:pPr>
      <w:r w:rsidRPr="00703590">
        <w:t>Basis</w:t>
      </w:r>
      <w:r w:rsidRPr="00472A5A">
        <w:t xml:space="preserve"> </w:t>
      </w:r>
      <w:r w:rsidRPr="00703590">
        <w:t>for</w:t>
      </w:r>
      <w:r w:rsidRPr="00472A5A">
        <w:t xml:space="preserve"> </w:t>
      </w:r>
      <w:r w:rsidRPr="00703590">
        <w:t>Opinion</w:t>
      </w:r>
      <w:r w:rsidRPr="00472A5A">
        <w:t xml:space="preserve"> </w:t>
      </w:r>
    </w:p>
    <w:p w14:paraId="74A44E4C" w14:textId="631AB2DA" w:rsidR="009A7882" w:rsidRPr="00472A5A" w:rsidRDefault="009A7882" w:rsidP="009A7882">
      <w:pPr>
        <w:pStyle w:val="ParaPlain"/>
      </w:pPr>
      <w:r w:rsidRPr="00472A5A">
        <w:t xml:space="preserve">We conducted our audit in accordance with </w:t>
      </w:r>
      <w:r>
        <w:t>Australian</w:t>
      </w:r>
      <w:r w:rsidRPr="00472A5A">
        <w:t xml:space="preserve"> Auditing </w:t>
      </w:r>
      <w:r>
        <w:t>Standards</w:t>
      </w:r>
      <w:r w:rsidRPr="00472A5A">
        <w:t>.</w:t>
      </w:r>
      <w:r>
        <w:t xml:space="preserve">  </w:t>
      </w:r>
      <w:r w:rsidRPr="00472A5A">
        <w:t xml:space="preserve">Our 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report.</w:t>
      </w:r>
      <w:r>
        <w:t xml:space="preserve">  </w:t>
      </w:r>
      <w:r w:rsidRPr="00472A5A">
        <w:t xml:space="preserve">We are independent of the </w:t>
      </w:r>
      <w:r>
        <w:t>Entity</w:t>
      </w:r>
      <w:r w:rsidRPr="00472A5A">
        <w:t xml:space="preserve"> in accordance with the ethical requirements </w:t>
      </w:r>
      <w:r>
        <w:rPr>
          <w:szCs w:val="24"/>
        </w:rPr>
        <w:t xml:space="preserve">of the Accounting Professional </w:t>
      </w:r>
      <w:r w:rsidR="003D6B59">
        <w:rPr>
          <w:szCs w:val="24"/>
        </w:rPr>
        <w:t xml:space="preserve">&amp; </w:t>
      </w:r>
      <w:r>
        <w:rPr>
          <w:szCs w:val="24"/>
        </w:rPr>
        <w:t xml:space="preserve">Ethical Standards Board’s APES 110 </w:t>
      </w:r>
      <w:r>
        <w:rPr>
          <w:i/>
          <w:szCs w:val="24"/>
        </w:rPr>
        <w:t>Code of Ethics for Professional Accountants</w:t>
      </w:r>
      <w:r w:rsidR="003D6B59">
        <w:rPr>
          <w:i/>
          <w:szCs w:val="24"/>
        </w:rPr>
        <w:t xml:space="preserve"> </w:t>
      </w:r>
      <w:r w:rsidR="003D6B59" w:rsidRPr="003D6B59">
        <w:rPr>
          <w:i/>
          <w:szCs w:val="24"/>
        </w:rPr>
        <w:t>(including Independence Standards)</w:t>
      </w:r>
      <w:r>
        <w:rPr>
          <w:i/>
          <w:szCs w:val="24"/>
        </w:rPr>
        <w:t xml:space="preserve"> </w:t>
      </w:r>
      <w:r>
        <w:rPr>
          <w:szCs w:val="24"/>
        </w:rPr>
        <w:t xml:space="preserve">(the Code) </w:t>
      </w:r>
      <w:r w:rsidRPr="00472A5A">
        <w:t xml:space="preserve">that are relevant to our audit of the financial </w:t>
      </w:r>
      <w:r>
        <w:t>report</w:t>
      </w:r>
      <w:r w:rsidRPr="00472A5A">
        <w:t xml:space="preserve"> in </w:t>
      </w:r>
      <w:r>
        <w:t>Australia.  W</w:t>
      </w:r>
      <w:r w:rsidRPr="00472A5A">
        <w:t xml:space="preserve">e have </w:t>
      </w:r>
      <w:r>
        <w:t xml:space="preserve">also </w:t>
      </w:r>
      <w:r w:rsidRPr="00472A5A">
        <w:t>fulfilled our other responsibilities in accordance with the</w:t>
      </w:r>
      <w:r>
        <w:t xml:space="preserve"> Code</w:t>
      </w:r>
      <w:r w:rsidRPr="00472A5A">
        <w:t>.</w:t>
      </w:r>
      <w:r>
        <w:t xml:space="preserve">  </w:t>
      </w:r>
      <w:r w:rsidRPr="00472A5A">
        <w:t>We believe that the audit evidence we have obtained is sufficient and appropriate to provide a basis for our opinion.</w:t>
      </w:r>
      <w:r>
        <w:t xml:space="preserve"> </w:t>
      </w:r>
    </w:p>
    <w:p w14:paraId="5E5CB89C" w14:textId="77777777" w:rsidR="009A7882" w:rsidRDefault="009A7882" w:rsidP="009A7882">
      <w:pPr>
        <w:pStyle w:val="Heading6"/>
      </w:pPr>
      <w:r>
        <w:t xml:space="preserve">Other </w:t>
      </w:r>
      <w:r w:rsidRPr="002050AD">
        <w:t xml:space="preserve">Information </w:t>
      </w:r>
      <w:r w:rsidRPr="003B3141">
        <w:t>[or another title if appropriate such as “Information Other than the Financial Report and Auditor’s Report Thereon”]</w:t>
      </w:r>
    </w:p>
    <w:p w14:paraId="26233461" w14:textId="77777777" w:rsidR="009A7882" w:rsidRPr="009835EE" w:rsidRDefault="009A7882" w:rsidP="009A7882">
      <w:pPr>
        <w:spacing w:after="200"/>
        <w:outlineLvl w:val="0"/>
        <w:rPr>
          <w:rFonts w:eastAsia="Calibri"/>
        </w:rPr>
      </w:pPr>
      <w:r w:rsidRPr="003B3141">
        <w:rPr>
          <w:rFonts w:eastAsia="Calibri"/>
          <w:i/>
        </w:rPr>
        <w:t>[R</w:t>
      </w:r>
      <w:r w:rsidRPr="009835EE">
        <w:rPr>
          <w:rFonts w:eastAsia="Calibri"/>
          <w:i/>
        </w:rPr>
        <w:t>eporting in accordance with the reporting requirements in ASA 720 – see [</w:t>
      </w:r>
      <w:proofErr w:type="spellStart"/>
      <w:r w:rsidRPr="009835EE">
        <w:rPr>
          <w:rFonts w:eastAsia="Calibri"/>
          <w:i/>
        </w:rPr>
        <w:t>Aus</w:t>
      </w:r>
      <w:proofErr w:type="spellEnd"/>
      <w:r w:rsidRPr="009835EE">
        <w:rPr>
          <w:rFonts w:eastAsia="Calibri"/>
          <w:i/>
        </w:rPr>
        <w:t xml:space="preserve">] Illustration 1A in Appendix 3 of </w:t>
      </w:r>
      <w:r w:rsidRPr="003B3141">
        <w:rPr>
          <w:rFonts w:eastAsia="Calibri"/>
          <w:i/>
        </w:rPr>
        <w:t>ASA 720.]</w:t>
      </w:r>
    </w:p>
    <w:p w14:paraId="2F9D42CF" w14:textId="77777777" w:rsidR="009A7882" w:rsidRDefault="009A7882" w:rsidP="009A7882">
      <w:pPr>
        <w:pStyle w:val="ParaPlain"/>
      </w:pPr>
      <w:r>
        <w:t xml:space="preserve">Those charged with governance are responsible for the other information.  The other information comprises the information </w:t>
      </w:r>
      <w:r w:rsidRPr="003B3141">
        <w:t>included</w:t>
      </w:r>
      <w:r w:rsidRPr="002050AD">
        <w:t xml:space="preserve"> i</w:t>
      </w:r>
      <w:r>
        <w:t xml:space="preserve">n the Entity’s annual report for the year ended 30 June 20X1, but does not include the financial report </w:t>
      </w:r>
      <w:r w:rsidRPr="002050AD">
        <w:t xml:space="preserve">and </w:t>
      </w:r>
      <w:r w:rsidRPr="003B3141">
        <w:t>our</w:t>
      </w:r>
      <w:r w:rsidRPr="002050AD">
        <w:t xml:space="preserve"> auditor’s</w:t>
      </w:r>
      <w:r>
        <w:t xml:space="preserve"> report thereon.</w:t>
      </w:r>
    </w:p>
    <w:p w14:paraId="3F18C34F"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34098BCF"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6D45636E"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1A046DFF" w14:textId="77777777" w:rsidR="009A7882" w:rsidRPr="00472A5A" w:rsidRDefault="009A7882" w:rsidP="009A7882">
      <w:pPr>
        <w:pStyle w:val="Heading6"/>
      </w:pPr>
      <w:r w:rsidRPr="00703590">
        <w:t>Responsibilities</w:t>
      </w:r>
      <w:r w:rsidRPr="00472A5A">
        <w:t xml:space="preserve"> </w:t>
      </w:r>
      <w:r w:rsidRPr="00703590">
        <w:t>of</w:t>
      </w:r>
      <w:r w:rsidRPr="00472A5A">
        <w:t xml:space="preserve"> </w:t>
      </w:r>
      <w:r w:rsidRPr="00703590">
        <w:t>Management</w:t>
      </w:r>
      <w:r w:rsidRPr="00472A5A">
        <w:t xml:space="preserve"> </w:t>
      </w:r>
      <w:r w:rsidRPr="00703590">
        <w:t>and</w:t>
      </w:r>
      <w:r w:rsidRPr="00472A5A">
        <w:t xml:space="preserve"> </w:t>
      </w:r>
      <w:r w:rsidRPr="00703590">
        <w:t>Those</w:t>
      </w:r>
      <w:r w:rsidRPr="00472A5A">
        <w:t xml:space="preserve"> </w:t>
      </w:r>
      <w:r w:rsidRPr="00703590">
        <w:t>Charged</w:t>
      </w:r>
      <w:r w:rsidRPr="00472A5A">
        <w:t xml:space="preserve"> </w:t>
      </w:r>
      <w:r w:rsidRPr="00703590">
        <w:t>with</w:t>
      </w:r>
      <w:r w:rsidRPr="00472A5A">
        <w:t xml:space="preserve"> </w:t>
      </w:r>
      <w:r w:rsidRPr="00703590">
        <w:t>Governance</w:t>
      </w:r>
      <w:r w:rsidRPr="00472A5A">
        <w:t xml:space="preserve"> </w:t>
      </w:r>
      <w:r w:rsidRPr="00703590">
        <w:t>for</w:t>
      </w:r>
      <w:r w:rsidRPr="00472A5A">
        <w:t xml:space="preserve"> </w:t>
      </w:r>
      <w:r w:rsidRPr="00703590">
        <w:t>the</w:t>
      </w:r>
      <w:r w:rsidRPr="00472A5A">
        <w:t xml:space="preserve"> </w:t>
      </w:r>
      <w:r w:rsidRPr="00703590">
        <w:t>Financial</w:t>
      </w:r>
      <w:r w:rsidRPr="00472A5A">
        <w:t xml:space="preserve"> </w:t>
      </w:r>
      <w:r>
        <w:t>Report</w:t>
      </w:r>
      <w:r w:rsidRPr="00BB5F68">
        <w:rPr>
          <w:rStyle w:val="FootnoteReference"/>
        </w:rPr>
        <w:footnoteReference w:id="17"/>
      </w:r>
      <w:r w:rsidRPr="00472A5A">
        <w:t xml:space="preserve"> </w:t>
      </w:r>
    </w:p>
    <w:p w14:paraId="36FC8D01" w14:textId="77777777" w:rsidR="009A7882" w:rsidRPr="00472A5A" w:rsidRDefault="009A7882" w:rsidP="009A7882">
      <w:pPr>
        <w:pStyle w:val="ParaPlain"/>
      </w:pPr>
      <w:r w:rsidRPr="00472A5A">
        <w:t xml:space="preserve">Management is responsible for the preparation of the financial </w:t>
      </w:r>
      <w:r>
        <w:t>report</w:t>
      </w:r>
      <w:r w:rsidRPr="00472A5A">
        <w:t xml:space="preserve"> in accordance with XYZ Law of Jurisdiction X,</w:t>
      </w:r>
      <w:r w:rsidRPr="00BB5F68">
        <w:rPr>
          <w:rStyle w:val="FootnoteReference"/>
        </w:rPr>
        <w:footnoteReference w:id="18"/>
      </w:r>
      <w:r w:rsidRPr="00472A5A">
        <w:t xml:space="preserve"> and for such internal control as management determines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11BA3024" w14:textId="77777777" w:rsidR="009A7882" w:rsidRPr="00472A5A" w:rsidRDefault="009A7882" w:rsidP="009A7882">
      <w:pPr>
        <w:pStyle w:val="ParaPlain"/>
      </w:pPr>
      <w:r w:rsidRPr="00472A5A">
        <w:t xml:space="preserve">In preparing the financial </w:t>
      </w:r>
      <w:r>
        <w:t>report</w:t>
      </w:r>
      <w:r w:rsidRPr="00472A5A">
        <w:t xml:space="preserve">, management is responsible for assessing the </w:t>
      </w:r>
      <w:r>
        <w:t>Entity’s</w:t>
      </w:r>
      <w:r w:rsidRPr="00472A5A">
        <w:t xml:space="preserve"> ability to continue as a going concern, disclosing, as applicable, matters related to going concern and using the going concern basis of accounting unless management either intends to liquidate the </w:t>
      </w:r>
      <w:r>
        <w:t>Entity</w:t>
      </w:r>
      <w:r w:rsidRPr="00472A5A">
        <w:t xml:space="preserve"> or to cease operations, or has no realistic alternative but to do so.</w:t>
      </w:r>
    </w:p>
    <w:p w14:paraId="2ED58136" w14:textId="77777777" w:rsidR="009A7882" w:rsidRPr="00472A5A" w:rsidRDefault="009A7882" w:rsidP="009A7882">
      <w:pPr>
        <w:pStyle w:val="ParaPlain"/>
      </w:pPr>
      <w:r w:rsidRPr="00472A5A">
        <w:t xml:space="preserve">Those charged with governance are responsible for overseeing the </w:t>
      </w:r>
      <w:r>
        <w:t>Entity’s</w:t>
      </w:r>
      <w:r w:rsidRPr="00472A5A">
        <w:t xml:space="preserve"> financial reporting process.</w:t>
      </w:r>
    </w:p>
    <w:p w14:paraId="4FCACDEE" w14:textId="77777777" w:rsidR="009A7882" w:rsidRPr="00472A5A" w:rsidRDefault="009A7882" w:rsidP="009A7882">
      <w:pPr>
        <w:pStyle w:val="Heading6"/>
      </w:pPr>
      <w:r w:rsidRPr="00703590">
        <w:t>Auditor’s</w:t>
      </w:r>
      <w:r w:rsidRPr="00472A5A">
        <w:t xml:space="preserve"> </w:t>
      </w:r>
      <w:r w:rsidRPr="00703590">
        <w:t>Responsibilities</w:t>
      </w:r>
      <w:r w:rsidRPr="00472A5A">
        <w:t xml:space="preserve"> </w:t>
      </w:r>
      <w:r w:rsidRPr="00703590">
        <w:t>for</w:t>
      </w:r>
      <w:r w:rsidRPr="00472A5A">
        <w:t xml:space="preserve"> </w:t>
      </w:r>
      <w:r w:rsidRPr="00703590">
        <w:t>the</w:t>
      </w:r>
      <w:r w:rsidRPr="00472A5A">
        <w:t xml:space="preserve"> </w:t>
      </w:r>
      <w:r w:rsidRPr="00703590">
        <w:t>Audit</w:t>
      </w:r>
      <w:r w:rsidRPr="00472A5A">
        <w:t xml:space="preserve"> </w:t>
      </w:r>
      <w:r w:rsidRPr="00703590">
        <w:t>of</w:t>
      </w:r>
      <w:r w:rsidRPr="00472A5A">
        <w:t xml:space="preserve"> </w:t>
      </w:r>
      <w:r w:rsidRPr="00703590">
        <w:t>the</w:t>
      </w:r>
      <w:r w:rsidRPr="00472A5A">
        <w:t xml:space="preserve"> </w:t>
      </w:r>
      <w:r w:rsidRPr="00703590">
        <w:t>Financial</w:t>
      </w:r>
      <w:r w:rsidRPr="00472A5A">
        <w:t xml:space="preserve"> </w:t>
      </w:r>
      <w:r>
        <w:t>Report</w:t>
      </w:r>
    </w:p>
    <w:p w14:paraId="324B1115" w14:textId="77777777" w:rsidR="009A7882" w:rsidRDefault="009A7882" w:rsidP="009A7882">
      <w:pPr>
        <w:pStyle w:val="ParaPlain"/>
      </w:pPr>
      <w:r w:rsidRPr="00472A5A">
        <w:t xml:space="preserve">Our objectives are to obtain reasonable assurance about whether the financial </w:t>
      </w:r>
      <w:r>
        <w:t>report</w:t>
      </w:r>
      <w:r w:rsidRPr="00472A5A">
        <w:t xml:space="preserve"> as a whole </w:t>
      </w:r>
      <w:r>
        <w:t>is</w:t>
      </w:r>
      <w:r w:rsidRPr="00472A5A">
        <w:t xml:space="preserve"> free from material misstatement, whether due to fraud or error, and to issue an auditor’s report that includes our 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misstatement when it exists.</w:t>
      </w:r>
      <w:r>
        <w:t xml:space="preserve">  </w:t>
      </w:r>
      <w:r w:rsidRPr="00472A5A">
        <w:t xml:space="preserve">Misstatements can arise from fraud or error and are considered material </w:t>
      </w:r>
      <w:r w:rsidRPr="00472A5A">
        <w:lastRenderedPageBreak/>
        <w:t xml:space="preserve">if, individually or in the aggregate, they could reasonably be expected to influence the economic decisions of users taken on the basis of the financial </w:t>
      </w:r>
      <w:r>
        <w:t>report</w:t>
      </w:r>
      <w:r w:rsidRPr="00472A5A">
        <w:t>.</w:t>
      </w:r>
      <w:r>
        <w:t xml:space="preserve">  </w:t>
      </w:r>
    </w:p>
    <w:p w14:paraId="04DB2282" w14:textId="34A0695F" w:rsidR="009A7882" w:rsidRDefault="009A7882" w:rsidP="009A7882">
      <w:pPr>
        <w:pStyle w:val="ParaPlain"/>
      </w:pPr>
      <w:r w:rsidRPr="002050AD">
        <w:t>[</w:t>
      </w:r>
      <w:r w:rsidRPr="002050AD">
        <w:rPr>
          <w:rStyle w:val="RefParas"/>
          <w:sz w:val="22"/>
          <w:szCs w:val="22"/>
        </w:rPr>
        <w:t xml:space="preserve">A further description of our responsibilities for the audit of the financial report is located at the Auditing and Assurance Standards Board website at: </w:t>
      </w:r>
      <w:hyperlink r:id="rId17" w:tooltip="AUASB website" w:history="1">
        <w:r w:rsidRPr="002050AD">
          <w:rPr>
            <w:rStyle w:val="Hyperlink"/>
            <w:szCs w:val="22"/>
          </w:rPr>
          <w:t>http://www.auasb.gov.au/Home.aspx</w:t>
        </w:r>
      </w:hyperlink>
      <w:r w:rsidRPr="002050AD">
        <w:rPr>
          <w:rStyle w:val="Hyperlink"/>
          <w:szCs w:val="22"/>
        </w:rPr>
        <w:t>.</w:t>
      </w:r>
      <w:r>
        <w:rPr>
          <w:rStyle w:val="Hyperlink"/>
          <w:szCs w:val="22"/>
        </w:rPr>
        <w:t xml:space="preserve"> </w:t>
      </w:r>
      <w:r w:rsidRPr="002050AD">
        <w:rPr>
          <w:rStyle w:val="RefParas"/>
          <w:sz w:val="22"/>
          <w:szCs w:val="22"/>
        </w:rPr>
        <w:t xml:space="preserve"> This description forms part of our auditor’s report.]</w:t>
      </w:r>
    </w:p>
    <w:p w14:paraId="65C77A77" w14:textId="77777777" w:rsidR="009A7882" w:rsidRDefault="009A7882" w:rsidP="009A7882">
      <w:pPr>
        <w:shd w:val="clear" w:color="auto" w:fill="BFBFBF" w:themeFill="background1" w:themeFillShade="BF"/>
        <w:spacing w:after="200"/>
        <w:jc w:val="both"/>
        <w:rPr>
          <w:sz w:val="18"/>
          <w:szCs w:val="18"/>
        </w:rPr>
      </w:pPr>
      <w:r w:rsidRPr="002050AD">
        <w:rPr>
          <w:sz w:val="18"/>
          <w:szCs w:val="18"/>
        </w:rPr>
        <w:t>Paragraph 41(b) explains</w:t>
      </w:r>
      <w:r w:rsidRPr="001975FE">
        <w:rPr>
          <w:sz w:val="18"/>
          <w:szCs w:val="18"/>
        </w:rPr>
        <w:t xml:space="preserve"> that the shaded material below can be located in an Appendix to the auditor’s report.</w:t>
      </w:r>
      <w:r>
        <w:rPr>
          <w:sz w:val="18"/>
          <w:szCs w:val="18"/>
        </w:rPr>
        <w:t xml:space="preserve">  </w:t>
      </w:r>
    </w:p>
    <w:p w14:paraId="30B20BA3" w14:textId="08F7403A" w:rsidR="009A7882" w:rsidRPr="00F43681" w:rsidRDefault="001C2921" w:rsidP="009A7882">
      <w:pPr>
        <w:shd w:val="clear" w:color="auto" w:fill="BFBFBF" w:themeFill="background1" w:themeFillShade="BF"/>
        <w:spacing w:after="200"/>
        <w:rPr>
          <w:sz w:val="18"/>
          <w:szCs w:val="18"/>
        </w:rPr>
      </w:pPr>
      <w:r w:rsidRPr="002050AD">
        <w:rPr>
          <w:sz w:val="18"/>
          <w:szCs w:val="18"/>
        </w:rPr>
        <w:t>Paragraph</w:t>
      </w:r>
      <w:r>
        <w:rPr>
          <w:sz w:val="18"/>
          <w:szCs w:val="18"/>
        </w:rPr>
        <w:t> </w:t>
      </w:r>
      <w:r w:rsidRPr="002050AD">
        <w:rPr>
          <w:sz w:val="18"/>
          <w:szCs w:val="18"/>
        </w:rPr>
        <w:t>4</w:t>
      </w:r>
      <w:r w:rsidR="009A7882" w:rsidRPr="003B3141">
        <w:rPr>
          <w:sz w:val="18"/>
          <w:szCs w:val="18"/>
        </w:rPr>
        <w:t>1</w:t>
      </w:r>
      <w:r w:rsidR="009A7882" w:rsidRPr="002050AD">
        <w:rPr>
          <w:sz w:val="18"/>
          <w:szCs w:val="18"/>
        </w:rPr>
        <w:t xml:space="preserve">(c)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18" w:tooltip="AUASB website" w:history="1">
        <w:r w:rsidR="009A7882" w:rsidRPr="003B3141">
          <w:rPr>
            <w:rStyle w:val="Hyperlink"/>
            <w:sz w:val="18"/>
            <w:szCs w:val="18"/>
          </w:rPr>
          <w:t>http://www.auasb.gov.au/Home.aspx</w:t>
        </w:r>
      </w:hyperlink>
      <w:r w:rsidR="009A7882" w:rsidRPr="002050AD">
        <w:rPr>
          <w:rStyle w:val="Hyperlink"/>
          <w:szCs w:val="22"/>
        </w:rPr>
        <w:t xml:space="preserve"> </w:t>
      </w:r>
      <w:r w:rsidR="009A7882" w:rsidRPr="002050AD">
        <w:rPr>
          <w:rStyle w:val="RefParas"/>
        </w:rPr>
        <w:t>(</w:t>
      </w:r>
      <w:r w:rsidR="00BB5F68">
        <w:rPr>
          <w:rStyle w:val="RefParas"/>
        </w:rPr>
        <w:t>Ref: Para. </w:t>
      </w:r>
      <w:proofErr w:type="spellStart"/>
      <w:r w:rsidR="009A7882" w:rsidRPr="003B3141">
        <w:rPr>
          <w:rStyle w:val="RefParas"/>
        </w:rPr>
        <w:t>Aus</w:t>
      </w:r>
      <w:proofErr w:type="spellEnd"/>
      <w:r w:rsidR="009A7882" w:rsidRPr="003B3141">
        <w:rPr>
          <w:rStyle w:val="RefParas"/>
        </w:rPr>
        <w:t xml:space="preserve"> A57</w:t>
      </w:r>
      <w:r w:rsidR="009A7882" w:rsidRPr="002050AD">
        <w:rPr>
          <w:rStyle w:val="RefParas"/>
        </w:rPr>
        <w:t>.1)</w:t>
      </w:r>
    </w:p>
    <w:p w14:paraId="39752EFA" w14:textId="77777777" w:rsidR="009A7882" w:rsidRPr="00116AE9" w:rsidRDefault="009A7882" w:rsidP="009A7882">
      <w:pPr>
        <w:pStyle w:val="ParaPlain"/>
        <w:shd w:val="clear" w:color="auto" w:fill="BFBFBF" w:themeFill="background1" w:themeFillShade="BF"/>
        <w:rPr>
          <w:sz w:val="18"/>
          <w:szCs w:val="18"/>
        </w:rPr>
      </w:pPr>
      <w:r w:rsidRPr="00116AE9">
        <w:rPr>
          <w:sz w:val="18"/>
          <w:szCs w:val="18"/>
        </w:rPr>
        <w:t xml:space="preserve">As part of an audit in accordance with Australian Auditing Standards, we exercise professional judgement and maintain professional scepticism throughout the audit.  We also: </w:t>
      </w:r>
    </w:p>
    <w:p w14:paraId="5F980097"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55B7D8A"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sz w:val="18"/>
          <w:szCs w:val="18"/>
        </w:rPr>
        <w:t>Entity’s</w:t>
      </w:r>
      <w:r w:rsidRPr="00116AE9">
        <w:rPr>
          <w:sz w:val="18"/>
          <w:szCs w:val="18"/>
        </w:rPr>
        <w:t xml:space="preserve"> internal control.</w:t>
      </w:r>
      <w:r w:rsidRPr="00BB5F68">
        <w:rPr>
          <w:rStyle w:val="FootnoteReference"/>
        </w:rPr>
        <w:footnoteReference w:id="19"/>
      </w:r>
      <w:r w:rsidRPr="00116AE9">
        <w:rPr>
          <w:sz w:val="18"/>
          <w:szCs w:val="18"/>
        </w:rPr>
        <w:t xml:space="preserve"> </w:t>
      </w:r>
    </w:p>
    <w:p w14:paraId="01EC0B6D"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Evaluate the appropriateness of accounting policies used and the reasonableness of accounting estimates and related disclosures made by management.  </w:t>
      </w:r>
    </w:p>
    <w:p w14:paraId="577F047A"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Pr>
          <w:sz w:val="18"/>
          <w:szCs w:val="18"/>
        </w:rPr>
        <w:t>Entity’s</w:t>
      </w:r>
      <w:r w:rsidRPr="00116AE9">
        <w:rPr>
          <w:sz w:val="18"/>
          <w:szCs w:val="18"/>
        </w:rPr>
        <w:t xml:space="preserve">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w:t>
      </w:r>
      <w:r>
        <w:rPr>
          <w:sz w:val="18"/>
          <w:szCs w:val="18"/>
        </w:rPr>
        <w:t>Entity</w:t>
      </w:r>
      <w:r w:rsidRPr="00116AE9">
        <w:rPr>
          <w:sz w:val="18"/>
          <w:szCs w:val="18"/>
        </w:rPr>
        <w:t xml:space="preserve"> to cease to continue as a going concern.</w:t>
      </w:r>
    </w:p>
    <w:p w14:paraId="3EDB98C9" w14:textId="77777777" w:rsidR="009A7882" w:rsidRPr="00116AE9" w:rsidRDefault="009A7882" w:rsidP="009A7882">
      <w:pPr>
        <w:pStyle w:val="ParaPlain"/>
        <w:shd w:val="clear" w:color="auto" w:fill="BFBFBF" w:themeFill="background1" w:themeFillShade="BF"/>
        <w:spacing w:after="480"/>
        <w:rPr>
          <w:sz w:val="18"/>
          <w:szCs w:val="18"/>
        </w:rPr>
      </w:pPr>
      <w:r w:rsidRPr="00116AE9">
        <w:rPr>
          <w:sz w:val="18"/>
          <w:szCs w:val="18"/>
        </w:rPr>
        <w:t xml:space="preserve">We communicate with those charged with governance regarding, among other matters, the planned scope and timing of the audit and significant audit findings, including any significant deficiencies in internal control that we identify during our audit. </w:t>
      </w:r>
    </w:p>
    <w:p w14:paraId="0981270C" w14:textId="77777777" w:rsidR="009A7882" w:rsidRDefault="009A7882" w:rsidP="009A7882">
      <w:pPr>
        <w:pStyle w:val="ParaPlain"/>
        <w:rPr>
          <w:szCs w:val="24"/>
          <w:lang w:eastAsia="en-AU"/>
        </w:rPr>
      </w:pPr>
      <w:r w:rsidRPr="002050AD">
        <w:rPr>
          <w:szCs w:val="24"/>
          <w:lang w:eastAsia="en-AU"/>
        </w:rPr>
        <w:t>[</w:t>
      </w:r>
      <w:r w:rsidRPr="002050AD">
        <w:rPr>
          <w:i/>
          <w:szCs w:val="24"/>
          <w:lang w:eastAsia="en-AU"/>
        </w:rPr>
        <w:t>S</w:t>
      </w:r>
      <w:r w:rsidRPr="000A5848">
        <w:rPr>
          <w:i/>
          <w:szCs w:val="24"/>
          <w:lang w:eastAsia="en-AU"/>
        </w:rPr>
        <w:t>ignature</w:t>
      </w:r>
      <w:r w:rsidRPr="002050AD">
        <w:rPr>
          <w:szCs w:val="24"/>
          <w:lang w:eastAsia="en-AU"/>
        </w:rPr>
        <w:t>]</w:t>
      </w:r>
      <w:r w:rsidRPr="00BB5F68">
        <w:rPr>
          <w:rStyle w:val="FootnoteReference"/>
        </w:rPr>
        <w:footnoteReference w:customMarkFollows="1" w:id="20"/>
        <w:t>*</w:t>
      </w:r>
    </w:p>
    <w:p w14:paraId="4A19D8D6" w14:textId="77777777" w:rsidR="00BB5F68" w:rsidRDefault="009A7882" w:rsidP="00A80FF2">
      <w:pPr>
        <w:spacing w:after="200"/>
      </w:pPr>
      <w:r w:rsidRPr="002050AD">
        <w:rPr>
          <w:szCs w:val="24"/>
          <w:lang w:eastAsia="en-AU"/>
        </w:rPr>
        <w:t>[</w:t>
      </w:r>
      <w:r w:rsidRPr="004108E2">
        <w:rPr>
          <w:i/>
          <w:szCs w:val="24"/>
          <w:lang w:eastAsia="en-AU"/>
        </w:rPr>
        <w:t>Date of the auditor’s report</w:t>
      </w:r>
      <w:r w:rsidRPr="002050AD">
        <w:rPr>
          <w:szCs w:val="24"/>
          <w:lang w:eastAsia="en-AU"/>
        </w:rPr>
        <w:t>]</w:t>
      </w:r>
      <w:r w:rsidR="00BB5F68" w:rsidRPr="00BB5F68">
        <w:rPr>
          <w:rStyle w:val="FootnoteReference"/>
        </w:rPr>
        <w:footnoteReference w:customMarkFollows="1" w:id="21"/>
        <w:t>#</w:t>
      </w:r>
    </w:p>
    <w:p w14:paraId="7F7225EE" w14:textId="77777777" w:rsidR="009A7882" w:rsidRPr="005A32D8"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37819DC9" w14:textId="77777777" w:rsidR="0075176B" w:rsidRDefault="0075176B" w:rsidP="0035625C"/>
    <w:sectPr w:rsidR="0075176B" w:rsidSect="00097B6B">
      <w:headerReference w:type="default" r:id="rId19"/>
      <w:footerReference w:type="default" r:id="rId20"/>
      <w:headerReference w:type="first" r:id="rId21"/>
      <w:footerReference w:type="first" r:id="rId22"/>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37D22" w14:textId="77777777" w:rsidR="00997EA4" w:rsidRDefault="00997EA4">
      <w:r>
        <w:separator/>
      </w:r>
    </w:p>
  </w:endnote>
  <w:endnote w:type="continuationSeparator" w:id="0">
    <w:p w14:paraId="26C07796" w14:textId="77777777" w:rsidR="00997EA4" w:rsidRDefault="0099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A846" w14:textId="3B57BDDC" w:rsidR="0000076D" w:rsidRDefault="00997EA4" w:rsidP="00A13EDD">
    <w:pPr>
      <w:pStyle w:val="Footer"/>
      <w:spacing w:before="200"/>
      <w:rPr>
        <w:rStyle w:val="PageNumber"/>
      </w:rPr>
    </w:pPr>
    <w:fldSimple w:instr=" REF DocType \* charformat " w:fldLock="1">
      <w:r w:rsidR="0000076D" w:rsidRPr="00097B6B">
        <w:t>ASA</w:t>
      </w:r>
    </w:fldSimple>
    <w:r w:rsidR="0000076D">
      <w:t xml:space="preserve"> </w:t>
    </w:r>
    <w:fldSimple w:instr=" REF DocNo \* charformat " w:fldLock="1">
      <w:r w:rsidR="0000076D" w:rsidRPr="00097B6B">
        <w:t>700</w:t>
      </w:r>
    </w:fldSimple>
    <w:r w:rsidR="00027681">
      <w:t xml:space="preserve"> –</w:t>
    </w:r>
    <w:r w:rsidR="0000076D">
      <w:t xml:space="preserve"> compiled</w:t>
    </w:r>
    <w:r w:rsidR="0000076D">
      <w:rPr>
        <w:rStyle w:val="PageNumber"/>
      </w:rPr>
      <w:tab/>
    </w:r>
    <w:r w:rsidR="0000076D">
      <w:rPr>
        <w:b w:val="0"/>
        <w:bCs/>
      </w:rPr>
      <w:t xml:space="preserve">- </w:t>
    </w:r>
    <w:r w:rsidR="0000076D">
      <w:rPr>
        <w:rStyle w:val="PageNumber"/>
        <w:b w:val="0"/>
        <w:bCs/>
      </w:rPr>
      <w:fldChar w:fldCharType="begin"/>
    </w:r>
    <w:r w:rsidR="0000076D">
      <w:rPr>
        <w:rStyle w:val="PageNumber"/>
        <w:b w:val="0"/>
        <w:bCs/>
      </w:rPr>
      <w:instrText xml:space="preserve"> PAGE </w:instrText>
    </w:r>
    <w:r w:rsidR="0000076D">
      <w:rPr>
        <w:rStyle w:val="PageNumber"/>
        <w:b w:val="0"/>
        <w:bCs/>
      </w:rPr>
      <w:fldChar w:fldCharType="separate"/>
    </w:r>
    <w:r w:rsidR="002A3A22">
      <w:rPr>
        <w:rStyle w:val="PageNumber"/>
        <w:b w:val="0"/>
        <w:bCs/>
        <w:noProof/>
      </w:rPr>
      <w:t>15</w:t>
    </w:r>
    <w:r w:rsidR="0000076D">
      <w:rPr>
        <w:rStyle w:val="PageNumber"/>
        <w:b w:val="0"/>
        <w:bCs/>
      </w:rPr>
      <w:fldChar w:fldCharType="end"/>
    </w:r>
    <w:r w:rsidR="0000076D">
      <w:rPr>
        <w:rStyle w:val="PageNumber"/>
        <w:b w:val="0"/>
        <w:bCs/>
      </w:rPr>
      <w:t xml:space="preserve"> -</w:t>
    </w:r>
    <w:r w:rsidR="0000076D">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372C" w14:textId="36E1EE54" w:rsidR="0000076D" w:rsidRDefault="00997EA4" w:rsidP="00A13EDD">
    <w:pPr>
      <w:pStyle w:val="Footer"/>
      <w:spacing w:before="200"/>
      <w:rPr>
        <w:rStyle w:val="PageNumber"/>
      </w:rPr>
    </w:pPr>
    <w:fldSimple w:instr=" REF DocType \* charformat " w:fldLock="1">
      <w:r w:rsidR="0000076D" w:rsidRPr="00097B6B">
        <w:t>ASA</w:t>
      </w:r>
    </w:fldSimple>
    <w:r w:rsidR="0000076D">
      <w:t xml:space="preserve"> </w:t>
    </w:r>
    <w:fldSimple w:instr=" REF DocNo \* charformat " w:fldLock="1">
      <w:r w:rsidR="0000076D" w:rsidRPr="00097B6B">
        <w:t>700</w:t>
      </w:r>
    </w:fldSimple>
    <w:r w:rsidR="0000076D">
      <w:t xml:space="preserve"> </w:t>
    </w:r>
    <w:r w:rsidR="00027681">
      <w:t>–</w:t>
    </w:r>
    <w:r w:rsidR="0000076D">
      <w:t xml:space="preserve"> compiled</w:t>
    </w:r>
    <w:r w:rsidR="0000076D">
      <w:rPr>
        <w:rStyle w:val="PageNumber"/>
      </w:rPr>
      <w:tab/>
    </w:r>
    <w:r w:rsidR="0000076D">
      <w:rPr>
        <w:b w:val="0"/>
        <w:bCs/>
      </w:rPr>
      <w:t xml:space="preserve">- </w:t>
    </w:r>
    <w:r w:rsidR="0000076D">
      <w:rPr>
        <w:rStyle w:val="PageNumber"/>
        <w:b w:val="0"/>
        <w:bCs/>
      </w:rPr>
      <w:fldChar w:fldCharType="begin"/>
    </w:r>
    <w:r w:rsidR="0000076D">
      <w:rPr>
        <w:rStyle w:val="PageNumber"/>
        <w:b w:val="0"/>
        <w:bCs/>
      </w:rPr>
      <w:instrText xml:space="preserve"> PAGE </w:instrText>
    </w:r>
    <w:r w:rsidR="0000076D">
      <w:rPr>
        <w:rStyle w:val="PageNumber"/>
        <w:b w:val="0"/>
        <w:bCs/>
      </w:rPr>
      <w:fldChar w:fldCharType="separate"/>
    </w:r>
    <w:r w:rsidR="002A3A22">
      <w:rPr>
        <w:rStyle w:val="PageNumber"/>
        <w:b w:val="0"/>
        <w:bCs/>
        <w:noProof/>
      </w:rPr>
      <w:t>8</w:t>
    </w:r>
    <w:r w:rsidR="0000076D">
      <w:rPr>
        <w:rStyle w:val="PageNumber"/>
        <w:b w:val="0"/>
        <w:bCs/>
      </w:rPr>
      <w:fldChar w:fldCharType="end"/>
    </w:r>
    <w:r w:rsidR="0000076D">
      <w:rPr>
        <w:rStyle w:val="PageNumber"/>
        <w:b w:val="0"/>
        <w:bCs/>
      </w:rPr>
      <w:t xml:space="preserve"> -</w:t>
    </w:r>
    <w:r w:rsidR="0000076D">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C8BB3" w14:textId="77777777" w:rsidR="00997EA4" w:rsidRDefault="00997EA4" w:rsidP="006D2111">
      <w:pPr>
        <w:spacing w:before="240"/>
      </w:pPr>
      <w:r>
        <w:separator/>
      </w:r>
    </w:p>
  </w:footnote>
  <w:footnote w:type="continuationSeparator" w:id="0">
    <w:p w14:paraId="3A916465" w14:textId="77777777" w:rsidR="00997EA4" w:rsidRDefault="00997EA4" w:rsidP="006D2111">
      <w:pPr>
        <w:spacing w:before="240"/>
      </w:pPr>
      <w:r>
        <w:continuationSeparator/>
      </w:r>
    </w:p>
  </w:footnote>
  <w:footnote w:id="1">
    <w:p w14:paraId="59260555" w14:textId="77777777" w:rsidR="0000076D" w:rsidRPr="00244FBE" w:rsidRDefault="0000076D" w:rsidP="00BB5F68">
      <w:pPr>
        <w:pStyle w:val="FootnoteText"/>
      </w:pPr>
      <w:r w:rsidRPr="00BB5F68">
        <w:rPr>
          <w:rStyle w:val="FootnoteReference"/>
          <w:sz w:val="16"/>
        </w:rPr>
        <w:t>#</w:t>
      </w:r>
      <w:r>
        <w:t xml:space="preserve"> </w:t>
      </w:r>
      <w:r w:rsidRPr="00244FBE">
        <w:tab/>
        <w:t>The sub</w:t>
      </w:r>
      <w:r>
        <w:t>-title</w:t>
      </w:r>
      <w:r w:rsidRPr="00244FBE">
        <w:t xml:space="preserve"> “Report on the Financial </w:t>
      </w:r>
      <w:r>
        <w:t>Report</w:t>
      </w:r>
      <w:r w:rsidRPr="00244FBE">
        <w:t>” is unnecessary in circumstances when the second sub</w:t>
      </w:r>
      <w:r>
        <w:t>-title</w:t>
      </w:r>
      <w:r w:rsidRPr="00244FBE">
        <w:t xml:space="preserve"> “Report on Other Legal and Regulatory Requirements”</w:t>
      </w:r>
      <w:r>
        <w:t>, or other appropriate sub-title,</w:t>
      </w:r>
      <w:r w:rsidRPr="00244FBE">
        <w:t xml:space="preserve"> is not applicable.</w:t>
      </w:r>
    </w:p>
  </w:footnote>
  <w:footnote w:id="2">
    <w:p w14:paraId="22A7810C" w14:textId="77777777" w:rsidR="0000076D" w:rsidRPr="00E2552B" w:rsidRDefault="0000076D" w:rsidP="00BB5F68">
      <w:pPr>
        <w:pStyle w:val="FootnoteText"/>
      </w:pPr>
      <w:r w:rsidRPr="00BB5F68">
        <w:rPr>
          <w:rStyle w:val="FootnoteReference"/>
          <w:sz w:val="16"/>
        </w:rPr>
        <w:sym w:font="Symbol" w:char="F02A"/>
      </w:r>
      <w:r w:rsidRPr="00304DD3">
        <w:t xml:space="preserve">  </w:t>
      </w:r>
      <w:r w:rsidRPr="00304DD3">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r w:rsidRPr="006D669F">
        <w:t>. [Section 307C (</w:t>
      </w:r>
      <w:r w:rsidRPr="00DA505D">
        <w:t xml:space="preserve">5A)(d) of the </w:t>
      </w:r>
      <w:r w:rsidRPr="00DA505D">
        <w:rPr>
          <w:i/>
        </w:rPr>
        <w:t>Corporations Act 2001.</w:t>
      </w:r>
      <w:r w:rsidRPr="00DA505D">
        <w:t>]</w:t>
      </w:r>
    </w:p>
  </w:footnote>
  <w:footnote w:id="3">
    <w:p w14:paraId="0F0E63CF" w14:textId="77777777" w:rsidR="0000076D" w:rsidRDefault="0000076D" w:rsidP="00BB5F68">
      <w:pPr>
        <w:pStyle w:val="FootnoteText"/>
      </w:pPr>
      <w:r w:rsidRPr="00BB5F68">
        <w:rPr>
          <w:rStyle w:val="FootnoteReference"/>
          <w:sz w:val="16"/>
        </w:rPr>
        <w:t>§</w:t>
      </w:r>
      <w:r>
        <w:t xml:space="preserve"> </w:t>
      </w:r>
      <w:r>
        <w:tab/>
        <w:t xml:space="preserve">The Report on the Remuneration Report is an example of “Other Reporting Responsibilities”—refer </w:t>
      </w:r>
      <w:r w:rsidRPr="005C19AA">
        <w:t>paragraphs 4</w:t>
      </w:r>
      <w:r>
        <w:t>3</w:t>
      </w:r>
      <w:r w:rsidRPr="005C19AA">
        <w:t>-4</w:t>
      </w:r>
      <w:r>
        <w:t>5</w:t>
      </w:r>
      <w:r w:rsidRPr="005C19AA">
        <w:t>.</w:t>
      </w:r>
      <w:r>
        <w:t xml:space="preserve">  Any additional “Other Reporting Responsibilities” that the auditor needs to address will also be included in a separate section of the auditor’s report.  Under </w:t>
      </w:r>
      <w:r w:rsidRPr="005C19AA">
        <w:t>paragraph 4</w:t>
      </w:r>
      <w:r>
        <w:t>3</w:t>
      </w:r>
      <w:r w:rsidRPr="005C19AA">
        <w:t>, the sub-</w:t>
      </w:r>
      <w:r>
        <w:t xml:space="preserve">title “Report on Other Legal and Regulatory Requirements” or other sub-title as appropriate to the section is used.  </w:t>
      </w:r>
    </w:p>
  </w:footnote>
  <w:footnote w:id="4">
    <w:p w14:paraId="3617A363" w14:textId="77777777" w:rsidR="0000076D" w:rsidRDefault="0000076D" w:rsidP="00BB5F68">
      <w:pPr>
        <w:pStyle w:val="FootnoteText"/>
      </w:pPr>
      <w:r w:rsidRPr="00BB5F68">
        <w:rPr>
          <w:rStyle w:val="FootnoteReference"/>
          <w:sz w:val="16"/>
        </w:rPr>
        <w:t>*</w:t>
      </w:r>
      <w:r>
        <w:t xml:space="preserve"> </w:t>
      </w:r>
      <w:r>
        <w:tab/>
        <w:t xml:space="preserve">The auditor is </w:t>
      </w:r>
      <w:r w:rsidRPr="00F71070">
        <w:t xml:space="preserve">required, under the </w:t>
      </w:r>
      <w:r>
        <w:rPr>
          <w:i/>
        </w:rPr>
        <w:t>Corporations Act </w:t>
      </w:r>
      <w:r w:rsidRPr="00F71070">
        <w:rPr>
          <w:i/>
        </w:rPr>
        <w:t>2001</w:t>
      </w:r>
      <w:r w:rsidRPr="00F71070">
        <w:t>, to sign</w:t>
      </w:r>
      <w:r>
        <w:t xml:space="preserve"> the auditor’s report in both their own name and the name of their firm [section 324AB(3)] or the name of the audit company [section 324AD(1)], as applicable.</w:t>
      </w:r>
    </w:p>
  </w:footnote>
  <w:footnote w:id="5">
    <w:p w14:paraId="22BC415C" w14:textId="6CAA4CD7"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6">
    <w:p w14:paraId="43E3E6BB" w14:textId="77777777" w:rsidR="0000076D" w:rsidRPr="00244FBE" w:rsidRDefault="0000076D" w:rsidP="00BB5F68">
      <w:pPr>
        <w:pStyle w:val="FootnoteText"/>
      </w:pPr>
      <w:r w:rsidRPr="00BB5F68">
        <w:rPr>
          <w:rStyle w:val="FootnoteReference"/>
          <w:sz w:val="16"/>
        </w:rPr>
        <w:t>#</w:t>
      </w:r>
      <w:r>
        <w:t xml:space="preserve"> </w:t>
      </w:r>
      <w:r w:rsidRPr="00244FBE">
        <w:tab/>
        <w:t>The sub</w:t>
      </w:r>
      <w:r>
        <w:t>-title</w:t>
      </w:r>
      <w:r w:rsidRPr="00244FBE">
        <w:t xml:space="preserve"> “Report on the </w:t>
      </w:r>
      <w:r>
        <w:t xml:space="preserve">Audit of the </w:t>
      </w:r>
      <w:r w:rsidRPr="00244FBE">
        <w:t xml:space="preserve">Financial </w:t>
      </w:r>
      <w:r>
        <w:t>Report</w:t>
      </w:r>
      <w:r w:rsidRPr="00244FBE">
        <w:t>” is unnecessary in circumstances when the second sub</w:t>
      </w:r>
      <w:r>
        <w:t>-title</w:t>
      </w:r>
      <w:r w:rsidRPr="00244FBE">
        <w:t xml:space="preserve"> “Report on Other Legal and Regulatory Requirements”</w:t>
      </w:r>
      <w:r>
        <w:t>, or other appropriate sub-title,</w:t>
      </w:r>
      <w:r w:rsidRPr="00244FBE">
        <w:t xml:space="preserve"> is not applicable.</w:t>
      </w:r>
    </w:p>
  </w:footnote>
  <w:footnote w:id="7">
    <w:p w14:paraId="19175EA4" w14:textId="77777777" w:rsidR="0000076D" w:rsidRPr="00E2552B" w:rsidRDefault="0000076D" w:rsidP="00BB5F68">
      <w:pPr>
        <w:pStyle w:val="FootnoteText"/>
      </w:pPr>
      <w:r w:rsidRPr="00BB5F68">
        <w:rPr>
          <w:rStyle w:val="FootnoteReference"/>
          <w:sz w:val="16"/>
        </w:rPr>
        <w:sym w:font="Symbol" w:char="F02A"/>
      </w:r>
      <w:r w:rsidRPr="00304DD3">
        <w:t xml:space="preserve">  </w:t>
      </w:r>
      <w:r w:rsidRPr="00304DD3">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r w:rsidRPr="006D669F">
        <w:t>.</w:t>
      </w:r>
      <w:r>
        <w:t xml:space="preserve"> </w:t>
      </w:r>
      <w:r w:rsidRPr="006D669F">
        <w:t xml:space="preserve"> [Section 307C (5A)(</w:t>
      </w:r>
      <w:r w:rsidRPr="001C0DAE">
        <w:t xml:space="preserve">d) of the </w:t>
      </w:r>
      <w:r w:rsidRPr="001C0DAE">
        <w:rPr>
          <w:i/>
        </w:rPr>
        <w:t>Corporations Act 2001.</w:t>
      </w:r>
      <w:r w:rsidRPr="001C0DAE">
        <w:t>]</w:t>
      </w:r>
    </w:p>
  </w:footnote>
  <w:footnote w:id="8">
    <w:p w14:paraId="309670BA" w14:textId="77777777" w:rsidR="0000076D" w:rsidRDefault="0000076D" w:rsidP="00BB5F68">
      <w:pPr>
        <w:pStyle w:val="FootnoteText"/>
      </w:pPr>
      <w:r w:rsidRPr="00BB5F68">
        <w:rPr>
          <w:rStyle w:val="FootnoteReference"/>
          <w:sz w:val="16"/>
        </w:rPr>
        <w:t>§</w:t>
      </w:r>
      <w:r>
        <w:t xml:space="preserve"> </w:t>
      </w:r>
      <w:r>
        <w:tab/>
        <w:t>The Report on the Remuneration Report is an example of “Other Reporting Responsibilities”—</w:t>
      </w:r>
      <w:r w:rsidRPr="00AD762F">
        <w:t>refer</w:t>
      </w:r>
      <w:r>
        <w:t xml:space="preserve"> paragraphs </w:t>
      </w:r>
      <w:r w:rsidRPr="00AD762F">
        <w:t>4</w:t>
      </w:r>
      <w:r>
        <w:t>3</w:t>
      </w:r>
      <w:r w:rsidRPr="00AD762F">
        <w:t>-4</w:t>
      </w:r>
      <w:r>
        <w:t>5</w:t>
      </w:r>
      <w:r w:rsidRPr="00AD762F">
        <w:t>.  Any additional “Other Reporting Responsibilities” that the auditor needs to address will also be included in a separate section of the aud</w:t>
      </w:r>
      <w:r>
        <w:t>itor’s report.  Under paragraph </w:t>
      </w:r>
      <w:r w:rsidRPr="00AD762F">
        <w:t>4</w:t>
      </w:r>
      <w:r>
        <w:t>3</w:t>
      </w:r>
      <w:r w:rsidRPr="00AD762F">
        <w:t>, the sub-title “Report on Other Legal and Regulatory Requirements” or other</w:t>
      </w:r>
      <w:r>
        <w:t xml:space="preserve"> sub-title as appropriate to the section is used.  </w:t>
      </w:r>
    </w:p>
  </w:footnote>
  <w:footnote w:id="9">
    <w:p w14:paraId="166F5D6C" w14:textId="77777777" w:rsidR="0000076D" w:rsidRDefault="0000076D" w:rsidP="00BB5F68">
      <w:pPr>
        <w:pStyle w:val="FootnoteText"/>
      </w:pPr>
      <w:r w:rsidRPr="00BB5F68">
        <w:rPr>
          <w:rStyle w:val="FootnoteReference"/>
          <w:sz w:val="16"/>
        </w:rPr>
        <w:t>*</w:t>
      </w:r>
      <w:r>
        <w:t xml:space="preserve"> </w:t>
      </w:r>
      <w:r>
        <w:tab/>
        <w:t xml:space="preserve">The </w:t>
      </w:r>
      <w:r w:rsidRPr="000A5848">
        <w:t xml:space="preserve">auditor is required, under the </w:t>
      </w:r>
      <w:r w:rsidRPr="000A5848">
        <w:rPr>
          <w:i/>
        </w:rPr>
        <w:t>Corporations Act 2001</w:t>
      </w:r>
      <w:r w:rsidRPr="000A5848">
        <w:t>, to sign the auditor’s report in both their own name and the name of their firm [section 324AB(3)] or the name of the audit company [section 324AD(1)],</w:t>
      </w:r>
      <w:r>
        <w:t xml:space="preserve"> as applicable.</w:t>
      </w:r>
    </w:p>
  </w:footnote>
  <w:footnote w:id="10">
    <w:p w14:paraId="6A5EF99F" w14:textId="2DA01B5D"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11">
    <w:p w14:paraId="495FC782" w14:textId="77777777" w:rsidR="0000076D" w:rsidRDefault="0000076D" w:rsidP="00BB5F68">
      <w:pPr>
        <w:pStyle w:val="FootnoteText"/>
      </w:pPr>
      <w:r w:rsidRPr="00BB5F68">
        <w:rPr>
          <w:rStyle w:val="FootnoteReference"/>
          <w:sz w:val="16"/>
        </w:rPr>
        <w:t>#</w:t>
      </w:r>
      <w:r>
        <w:t xml:space="preserve"> </w:t>
      </w:r>
      <w:r>
        <w:tab/>
        <w:t>Or other applicable assertion by management or those charged with governance.</w:t>
      </w:r>
    </w:p>
  </w:footnote>
  <w:footnote w:id="12">
    <w:p w14:paraId="7A75A6CE" w14:textId="77777777" w:rsidR="0000076D" w:rsidRPr="00FB209E" w:rsidRDefault="0000076D" w:rsidP="00BB5F68">
      <w:pPr>
        <w:pStyle w:val="FootnoteText"/>
        <w:rPr>
          <w:lang w:val="en-US"/>
        </w:rPr>
      </w:pPr>
      <w:r w:rsidRPr="00BB5F68">
        <w:rPr>
          <w:rStyle w:val="FootnoteReference"/>
          <w:sz w:val="16"/>
        </w:rPr>
        <w:footnoteRef/>
      </w:r>
      <w:r w:rsidRPr="00FB209E">
        <w:t xml:space="preserve"> </w:t>
      </w:r>
      <w:r>
        <w:tab/>
        <w:t>Or other terms that are appropriate in the context of the legal framework of the particular jurisdiction.</w:t>
      </w:r>
    </w:p>
  </w:footnote>
  <w:footnote w:id="13">
    <w:p w14:paraId="0E8D3236" w14:textId="77777777" w:rsidR="0000076D" w:rsidRPr="00FB209E" w:rsidRDefault="0000076D" w:rsidP="00BB5F68">
      <w:pPr>
        <w:pStyle w:val="FootnoteText"/>
        <w:rPr>
          <w:lang w:val="en-US"/>
        </w:rPr>
      </w:pPr>
      <w:r w:rsidRPr="00BB5F68">
        <w:rPr>
          <w:rStyle w:val="FootnoteReference"/>
          <w:sz w:val="16"/>
        </w:rPr>
        <w:footnoteRef/>
      </w:r>
      <w:r w:rsidRPr="00FB209E">
        <w:t xml:space="preserve"> </w:t>
      </w:r>
      <w:r>
        <w:tab/>
        <w:t xml:space="preserve">Where management’s responsibility is to prepare a financial report that gives a true and fair view, this may read: “Management is responsible for the preparation of the financial report that gives a true and fair view in accordance </w:t>
      </w:r>
      <w:r w:rsidRPr="00AD762F">
        <w:t>with Australian Accounting</w:t>
      </w:r>
      <w:r>
        <w:t xml:space="preserve"> Standards, and for such ...”</w:t>
      </w:r>
    </w:p>
  </w:footnote>
  <w:footnote w:id="14">
    <w:p w14:paraId="59CC0161" w14:textId="77777777" w:rsidR="0000076D" w:rsidRDefault="0000076D" w:rsidP="00BB5F68">
      <w:pPr>
        <w:pStyle w:val="FootnoteText"/>
      </w:pPr>
      <w:r w:rsidRPr="00BB5F68">
        <w:rPr>
          <w:rStyle w:val="FootnoteReference"/>
          <w:sz w:val="16"/>
        </w:rPr>
        <w:t>*</w:t>
      </w:r>
      <w:r>
        <w:t xml:space="preserve"> </w:t>
      </w:r>
      <w:r>
        <w:tab/>
      </w:r>
      <w:r w:rsidRPr="003B3141">
        <w:t>The auditor’s signature</w:t>
      </w:r>
      <w:r w:rsidRPr="00D97AAB">
        <w:t xml:space="preserve"> is either in the name of the audit firm, the </w:t>
      </w:r>
      <w:r w:rsidRPr="003B3141">
        <w:t>personal name of the auditor or both, as appropriate. [Ref: A</w:t>
      </w:r>
      <w:r w:rsidRPr="00D97AAB">
        <w:t>64</w:t>
      </w:r>
      <w:r w:rsidRPr="003B3141">
        <w:t>]</w:t>
      </w:r>
    </w:p>
  </w:footnote>
  <w:footnote w:id="15">
    <w:p w14:paraId="67D7DDD7" w14:textId="6D073624"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16">
    <w:p w14:paraId="025DD62F" w14:textId="77777777" w:rsidR="0000076D" w:rsidRDefault="0000076D" w:rsidP="00BB5F68">
      <w:pPr>
        <w:pStyle w:val="FootnoteText"/>
      </w:pPr>
      <w:r w:rsidRPr="00BB5F68">
        <w:rPr>
          <w:rStyle w:val="FootnoteReference"/>
          <w:sz w:val="16"/>
        </w:rPr>
        <w:t>#</w:t>
      </w:r>
      <w:r>
        <w:t xml:space="preserve"> </w:t>
      </w:r>
      <w:r>
        <w:tab/>
        <w:t>Or other applicable assertion by management or those charged with governance.</w:t>
      </w:r>
    </w:p>
  </w:footnote>
  <w:footnote w:id="17">
    <w:p w14:paraId="64EE8AC9" w14:textId="77777777" w:rsidR="0000076D" w:rsidRDefault="0000076D" w:rsidP="00BB5F68">
      <w:pPr>
        <w:pStyle w:val="FootnoteText"/>
      </w:pPr>
      <w:r w:rsidRPr="00BB5F68">
        <w:rPr>
          <w:rStyle w:val="FootnoteReference"/>
          <w:sz w:val="16"/>
        </w:rPr>
        <w:footnoteRef/>
      </w:r>
      <w:r>
        <w:t xml:space="preserve"> </w:t>
      </w:r>
      <w:r>
        <w:tab/>
        <w:t>Or other terms that are appropriate in the context of the legal framework of the particular jurisdiction.</w:t>
      </w:r>
    </w:p>
  </w:footnote>
  <w:footnote w:id="18">
    <w:p w14:paraId="2E4F2654" w14:textId="77777777" w:rsidR="0000076D" w:rsidRDefault="0000076D" w:rsidP="00BB5F68">
      <w:pPr>
        <w:pStyle w:val="FootnoteText"/>
      </w:pPr>
      <w:r w:rsidRPr="00BB5F68">
        <w:rPr>
          <w:rStyle w:val="FootnoteReference"/>
          <w:sz w:val="16"/>
        </w:rPr>
        <w:footnoteRef/>
      </w:r>
      <w:r>
        <w:t xml:space="preserve"> </w:t>
      </w:r>
      <w:r>
        <w:tab/>
      </w:r>
      <w:r w:rsidRPr="006421CD">
        <w:t xml:space="preserve">[Deleted by the AUASB – not applicable as the financial reporting framework in this example is a </w:t>
      </w:r>
      <w:r w:rsidRPr="006421CD">
        <w:rPr>
          <w:i/>
        </w:rPr>
        <w:t>compliance</w:t>
      </w:r>
      <w:r w:rsidRPr="006421CD">
        <w:t xml:space="preserve"> framework].</w:t>
      </w:r>
      <w:r>
        <w:t xml:space="preserve"> </w:t>
      </w:r>
    </w:p>
  </w:footnote>
  <w:footnote w:id="19">
    <w:p w14:paraId="2D7E1ED0" w14:textId="4B14D8BF" w:rsidR="0000076D" w:rsidRDefault="0000076D" w:rsidP="00BB5F68">
      <w:pPr>
        <w:pStyle w:val="FootnoteText"/>
      </w:pPr>
      <w:r w:rsidRPr="00BB5F68">
        <w:rPr>
          <w:rStyle w:val="FootnoteReference"/>
          <w:sz w:val="16"/>
        </w:rPr>
        <w:footnoteRef/>
      </w:r>
      <w:r>
        <w:t xml:space="preserve"> </w:t>
      </w:r>
      <w:r>
        <w:tab/>
        <w:t>This sentence would be modified, as appropriate, in circumstances when the auditor also has responsibility to issue an opinion on the effectiveness of internal control in conjunction with the audit of the financial report.</w:t>
      </w:r>
    </w:p>
  </w:footnote>
  <w:footnote w:id="20">
    <w:p w14:paraId="5A70D12D" w14:textId="77777777" w:rsidR="0000076D" w:rsidRDefault="0000076D" w:rsidP="00BB5F68">
      <w:pPr>
        <w:pStyle w:val="FootnoteText"/>
      </w:pPr>
      <w:r w:rsidRPr="00BB5F68">
        <w:rPr>
          <w:rStyle w:val="FootnoteReference"/>
          <w:sz w:val="16"/>
        </w:rPr>
        <w:t>*</w:t>
      </w:r>
      <w:r>
        <w:t xml:space="preserve"> </w:t>
      </w:r>
      <w:r>
        <w:tab/>
      </w:r>
      <w:r w:rsidRPr="002050AD">
        <w:t>The auditor’s signature is either in the name of the audit firm, the personal name of the auditor or both, as appropriate. [Ref: A64]</w:t>
      </w:r>
    </w:p>
  </w:footnote>
  <w:footnote w:id="21">
    <w:p w14:paraId="1D8AA124" w14:textId="48B4F737"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CC8C" w14:textId="77777777" w:rsidR="0000076D" w:rsidRDefault="00997EA4">
    <w:pPr>
      <w:pStyle w:val="Header"/>
      <w:rPr>
        <w:i/>
        <w:iCs/>
      </w:rPr>
    </w:pPr>
    <w:fldSimple w:instr=" REF DocTypeLong \* charformat " w:fldLock="1">
      <w:r w:rsidR="0000076D" w:rsidRPr="00097B6B">
        <w:t>Auditing Standard</w:t>
      </w:r>
    </w:fldSimple>
    <w:r w:rsidR="0000076D" w:rsidRPr="00C649F8">
      <w:t xml:space="preserve"> </w:t>
    </w:r>
    <w:fldSimple w:instr=" REF DocType \* charformat " w:fldLock="1">
      <w:r w:rsidR="0000076D" w:rsidRPr="00097B6B">
        <w:t>ASA</w:t>
      </w:r>
    </w:fldSimple>
    <w:r w:rsidR="0000076D" w:rsidRPr="00C649F8">
      <w:t xml:space="preserve"> </w:t>
    </w:r>
    <w:fldSimple w:instr=" REF DocNo \* charformat " w:fldLock="1">
      <w:r w:rsidR="0000076D" w:rsidRPr="00097B6B">
        <w:t>700</w:t>
      </w:r>
    </w:fldSimple>
    <w:r w:rsidR="0000076D" w:rsidRPr="00C649F8">
      <w:br/>
    </w:r>
    <w:r w:rsidR="0000076D" w:rsidRPr="00C649F8">
      <w:rPr>
        <w:i/>
        <w:iCs/>
      </w:rPr>
      <w:fldChar w:fldCharType="begin" w:fldLock="1"/>
    </w:r>
    <w:r w:rsidR="0000076D" w:rsidRPr="00C649F8">
      <w:rPr>
        <w:i/>
        <w:iCs/>
      </w:rPr>
      <w:instrText xml:space="preserve"> REF DocTitle \* charformat </w:instrText>
    </w:r>
    <w:r w:rsidR="0000076D" w:rsidRPr="00C649F8">
      <w:rPr>
        <w:i/>
        <w:iCs/>
      </w:rPr>
      <w:fldChar w:fldCharType="separate"/>
    </w:r>
    <w:r w:rsidR="0000076D" w:rsidRPr="00097B6B">
      <w:rPr>
        <w:i/>
        <w:iCs/>
      </w:rPr>
      <w:t>Forming an Opinion and Reporting on a Financial Report</w:t>
    </w:r>
    <w:r w:rsidR="0000076D" w:rsidRPr="00C649F8">
      <w:fldChar w:fldCharType="end"/>
    </w:r>
  </w:p>
  <w:p w14:paraId="391EEF6D" w14:textId="77777777" w:rsidR="0000076D" w:rsidRDefault="0000076D" w:rsidP="00F46978">
    <w:pPr>
      <w:pStyle w:val="Heade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888F" w14:textId="77777777" w:rsidR="0000076D" w:rsidRDefault="0000076D">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7B29"/>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E6816"/>
    <w:multiLevelType w:val="hybridMultilevel"/>
    <w:tmpl w:val="A6DE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C19BB"/>
    <w:multiLevelType w:val="hybridMultilevel"/>
    <w:tmpl w:val="80DAC074"/>
    <w:lvl w:ilvl="0" w:tplc="9AC889B4">
      <w:start w:val="1"/>
      <w:numFmt w:val="decimal"/>
      <w:lvlText w:val="A%1."/>
      <w:lvlJc w:val="left"/>
      <w:pPr>
        <w:ind w:left="360" w:hanging="360"/>
      </w:pPr>
      <w:rPr>
        <w:rFonts w:ascii="Arial" w:hAnsi="Arial" w:cs="Arial" w:hint="default"/>
        <w:b w:val="0"/>
        <w:sz w:val="20"/>
        <w:szCs w:val="2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11AA"/>
    <w:multiLevelType w:val="multilevel"/>
    <w:tmpl w:val="B9544668"/>
    <w:lvl w:ilvl="0">
      <w:start w:val="1"/>
      <w:numFmt w:val="decimal"/>
      <w:lvlText w:val="%1."/>
      <w:lvlJc w:val="left"/>
      <w:pPr>
        <w:ind w:left="1087" w:hanging="547"/>
      </w:pPr>
      <w:rPr>
        <w:rFonts w:ascii="Arial" w:hAnsi="Arial" w:cs="Arial" w:hint="default"/>
        <w:b w:val="0"/>
        <w:strike w:val="0"/>
        <w:sz w:val="20"/>
        <w:szCs w:val="20"/>
      </w:rPr>
    </w:lvl>
    <w:lvl w:ilvl="1">
      <w:start w:val="1"/>
      <w:numFmt w:val="lowerLetter"/>
      <w:lvlText w:val="(%2)"/>
      <w:lvlJc w:val="left"/>
      <w:pPr>
        <w:ind w:left="1177" w:hanging="547"/>
      </w:pPr>
      <w:rPr>
        <w:rFonts w:hint="default"/>
        <w:b w:val="0"/>
        <w:i w:val="0"/>
        <w:strike w:val="0"/>
        <w:u w:val="none"/>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7" w15:restartNumberingAfterBreak="0">
    <w:nsid w:val="161A14CF"/>
    <w:multiLevelType w:val="hybridMultilevel"/>
    <w:tmpl w:val="F2D46D50"/>
    <w:lvl w:ilvl="0" w:tplc="3B2A45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20F7E"/>
    <w:multiLevelType w:val="multilevel"/>
    <w:tmpl w:val="259AFFBE"/>
    <w:numStyleLink w:val="TableNumbers"/>
  </w:abstractNum>
  <w:abstractNum w:abstractNumId="9" w15:restartNumberingAfterBreak="0">
    <w:nsid w:val="1A2F2A49"/>
    <w:multiLevelType w:val="multilevel"/>
    <w:tmpl w:val="F0F458F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1B9C5795"/>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1" w15:restartNumberingAfterBreak="0">
    <w:nsid w:val="1CE52A38"/>
    <w:multiLevelType w:val="multilevel"/>
    <w:tmpl w:val="C7463B4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2" w15:restartNumberingAfterBreak="0">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3"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4C71EDB"/>
    <w:multiLevelType w:val="multilevel"/>
    <w:tmpl w:val="D430E16A"/>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25086701"/>
    <w:multiLevelType w:val="multilevel"/>
    <w:tmpl w:val="BEA8DF82"/>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273C702E"/>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8" w15:restartNumberingAfterBreak="0">
    <w:nsid w:val="27A23EE9"/>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9" w15:restartNumberingAfterBreak="0">
    <w:nsid w:val="2C493225"/>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C7A29"/>
    <w:multiLevelType w:val="multilevel"/>
    <w:tmpl w:val="7752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7D35CF2"/>
    <w:multiLevelType w:val="multilevel"/>
    <w:tmpl w:val="DE16A648"/>
    <w:lvl w:ilvl="0">
      <w:start w:val="1"/>
      <w:numFmt w:val="bullet"/>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3" w15:restartNumberingAfterBreak="0">
    <w:nsid w:val="38246F00"/>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DD0C6A"/>
    <w:multiLevelType w:val="hybridMultilevel"/>
    <w:tmpl w:val="FA344DB8"/>
    <w:lvl w:ilvl="0" w:tplc="E13A0A1E">
      <w:start w:val="37"/>
      <w:numFmt w:val="decimal"/>
      <w:lvlText w:val="A%1."/>
      <w:lvlJc w:val="left"/>
      <w:pPr>
        <w:ind w:left="360" w:hanging="360"/>
      </w:pPr>
      <w:rPr>
        <w:rFonts w:ascii="Arial" w:hAnsi="Arial" w:cs="Arial" w:hint="default"/>
        <w:b w:val="0"/>
        <w:sz w:val="20"/>
        <w:szCs w:val="20"/>
        <w:vertAlign w:val="baseline"/>
      </w:rPr>
    </w:lvl>
    <w:lvl w:ilvl="1" w:tplc="5344C9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C85002F"/>
    <w:multiLevelType w:val="multilevel"/>
    <w:tmpl w:val="259AFFBE"/>
    <w:numStyleLink w:val="TableNumbers"/>
  </w:abstractNum>
  <w:abstractNum w:abstractNumId="27" w15:restartNumberingAfterBreak="0">
    <w:nsid w:val="405954BE"/>
    <w:multiLevelType w:val="multilevel"/>
    <w:tmpl w:val="63148CD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8" w15:restartNumberingAfterBreak="0">
    <w:nsid w:val="421730CC"/>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297328"/>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abstractNum w:abstractNumId="30" w15:restartNumberingAfterBreak="0">
    <w:nsid w:val="46D1763A"/>
    <w:multiLevelType w:val="multilevel"/>
    <w:tmpl w:val="DF58D790"/>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1" w15:restartNumberingAfterBreak="0">
    <w:nsid w:val="4C884DFD"/>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3411E5"/>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33" w15:restartNumberingAfterBreak="0">
    <w:nsid w:val="50575FF0"/>
    <w:multiLevelType w:val="hybridMultilevel"/>
    <w:tmpl w:val="7D440738"/>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4" w15:restartNumberingAfterBreak="0">
    <w:nsid w:val="50B15111"/>
    <w:multiLevelType w:val="multilevel"/>
    <w:tmpl w:val="7548C692"/>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o"/>
      <w:lvlJc w:val="left"/>
      <w:pPr>
        <w:tabs>
          <w:tab w:val="num" w:pos="1418"/>
        </w:tabs>
        <w:ind w:left="2127" w:hanging="709"/>
      </w:pPr>
      <w:rPr>
        <w:rFonts w:ascii="Courier New" w:hAnsi="Courier New" w:cs="Courier New"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5" w15:restartNumberingAfterBreak="0">
    <w:nsid w:val="54272ACD"/>
    <w:multiLevelType w:val="hybridMultilevel"/>
    <w:tmpl w:val="6A42E2DC"/>
    <w:lvl w:ilvl="0" w:tplc="9AC889B4">
      <w:start w:val="1"/>
      <w:numFmt w:val="decimal"/>
      <w:lvlText w:val="A%1."/>
      <w:lvlJc w:val="left"/>
      <w:pPr>
        <w:ind w:left="360" w:hanging="360"/>
      </w:pPr>
      <w:rPr>
        <w:rFonts w:ascii="Arial" w:hAnsi="Arial" w:cs="Arial" w:hint="default"/>
        <w:b w:val="0"/>
        <w:sz w:val="20"/>
        <w:szCs w:val="20"/>
        <w:vertAlign w:val="baseline"/>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747C9A"/>
    <w:multiLevelType w:val="multilevel"/>
    <w:tmpl w:val="1A8AA198"/>
    <w:numStyleLink w:val="AUASBListBullets"/>
  </w:abstractNum>
  <w:abstractNum w:abstractNumId="37" w15:restartNumberingAfterBreak="0">
    <w:nsid w:val="56177F0E"/>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6765CA"/>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39" w15:restartNumberingAfterBreak="0">
    <w:nsid w:val="5E9F4F0A"/>
    <w:multiLevelType w:val="multilevel"/>
    <w:tmpl w:val="92DA49D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40" w15:restartNumberingAfterBreak="0">
    <w:nsid w:val="648D53F6"/>
    <w:multiLevelType w:val="multilevel"/>
    <w:tmpl w:val="1A8AA198"/>
    <w:numStyleLink w:val="AUASBListBullets"/>
  </w:abstractNum>
  <w:abstractNum w:abstractNumId="41" w15:restartNumberingAfterBreak="0">
    <w:nsid w:val="653567B0"/>
    <w:multiLevelType w:val="multilevel"/>
    <w:tmpl w:val="259AFFBE"/>
    <w:numStyleLink w:val="TableNumbers"/>
  </w:abstractNum>
  <w:abstractNum w:abstractNumId="42" w15:restartNumberingAfterBreak="0">
    <w:nsid w:val="67173ACE"/>
    <w:multiLevelType w:val="multilevel"/>
    <w:tmpl w:val="601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6F3E75"/>
    <w:multiLevelType w:val="hybridMultilevel"/>
    <w:tmpl w:val="59BC14CC"/>
    <w:lvl w:ilvl="0" w:tplc="C3BEE890">
      <w:start w:val="1"/>
      <w:numFmt w:val="bullet"/>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12A9E"/>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45" w15:restartNumberingAfterBreak="0">
    <w:nsid w:val="75602482"/>
    <w:multiLevelType w:val="hybridMultilevel"/>
    <w:tmpl w:val="6C86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253EFA"/>
    <w:multiLevelType w:val="hybridMultilevel"/>
    <w:tmpl w:val="8734650C"/>
    <w:lvl w:ilvl="0" w:tplc="1ED6682C">
      <w:start w:val="5"/>
      <w:numFmt w:val="decimal"/>
      <w:lvlText w:val="A%1."/>
      <w:lvlJc w:val="left"/>
      <w:pPr>
        <w:ind w:left="360" w:hanging="360"/>
      </w:pPr>
      <w:rPr>
        <w:rFonts w:ascii="Arial" w:hAnsi="Arial" w:cs="Arial" w:hint="default"/>
        <w:b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B3AE8"/>
    <w:multiLevelType w:val="hybridMultilevel"/>
    <w:tmpl w:val="08A61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884C36"/>
    <w:multiLevelType w:val="hybridMultilevel"/>
    <w:tmpl w:val="E93E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12"/>
  </w:num>
  <w:num w:numId="4">
    <w:abstractNumId w:val="13"/>
  </w:num>
  <w:num w:numId="5">
    <w:abstractNumId w:val="14"/>
  </w:num>
  <w:num w:numId="6">
    <w:abstractNumId w:val="29"/>
  </w:num>
  <w:num w:numId="7">
    <w:abstractNumId w:val="20"/>
  </w:num>
  <w:num w:numId="8">
    <w:abstractNumId w:val="4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6"/>
  </w:num>
  <w:num w:numId="13">
    <w:abstractNumId w:val="41"/>
  </w:num>
  <w:num w:numId="14">
    <w:abstractNumId w:val="21"/>
  </w:num>
  <w:num w:numId="15">
    <w:abstractNumId w:val="17"/>
  </w:num>
  <w:num w:numId="16">
    <w:abstractNumId w:val="32"/>
  </w:num>
  <w:num w:numId="17">
    <w:abstractNumId w:val="28"/>
  </w:num>
  <w:num w:numId="18">
    <w:abstractNumId w:val="23"/>
  </w:num>
  <w:num w:numId="19">
    <w:abstractNumId w:val="7"/>
  </w:num>
  <w:num w:numId="20">
    <w:abstractNumId w:val="2"/>
  </w:num>
  <w:num w:numId="21">
    <w:abstractNumId w:val="43"/>
  </w:num>
  <w:num w:numId="22">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5"/>
  </w:num>
  <w:num w:numId="27">
    <w:abstractNumId w:val="24"/>
  </w:num>
  <w:num w:numId="28">
    <w:abstractNumId w:val="46"/>
  </w:num>
  <w:num w:numId="29">
    <w:abstractNumId w:val="10"/>
  </w:num>
  <w:num w:numId="30">
    <w:abstractNumId w:val="44"/>
  </w:num>
  <w:num w:numId="31">
    <w:abstractNumId w:val="31"/>
  </w:num>
  <w:num w:numId="32">
    <w:abstractNumId w:val="19"/>
  </w:num>
  <w:num w:numId="33">
    <w:abstractNumId w:val="18"/>
  </w:num>
  <w:num w:numId="34">
    <w:abstractNumId w:val="38"/>
  </w:num>
  <w:num w:numId="35">
    <w:abstractNumId w:val="37"/>
  </w:num>
  <w:num w:numId="36">
    <w:abstractNumId w:val="0"/>
  </w:num>
  <w:num w:numId="37">
    <w:abstractNumId w:val="22"/>
  </w:num>
  <w:num w:numId="38">
    <w:abstractNumId w:val="4"/>
  </w:num>
  <w:num w:numId="39">
    <w:abstractNumId w:val="25"/>
  </w:num>
  <w:num w:numId="40">
    <w:abstractNumId w:val="1"/>
  </w:num>
  <w:num w:numId="41">
    <w:abstractNumId w:val="4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3"/>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46">
    <w:abstractNumId w:val="13"/>
    <w:lvlOverride w:ilvl="0">
      <w:startOverride w:val="1"/>
    </w:lvlOverride>
    <w:lvlOverride w:ilvl="1">
      <w:startOverride w:val="4"/>
    </w:lvlOverride>
  </w:num>
  <w:num w:numId="47">
    <w:abstractNumId w:val="47"/>
  </w:num>
  <w:num w:numId="48">
    <w:abstractNumId w:val="36"/>
  </w:num>
  <w:num w:numId="49">
    <w:abstractNumId w:val="30"/>
  </w:num>
  <w:num w:numId="50">
    <w:abstractNumId w:val="11"/>
  </w:num>
  <w:num w:numId="51">
    <w:abstractNumId w:val="16"/>
  </w:num>
  <w:num w:numId="52">
    <w:abstractNumId w:val="36"/>
  </w:num>
  <w:num w:numId="53">
    <w:abstractNumId w:val="27"/>
  </w:num>
  <w:num w:numId="54">
    <w:abstractNumId w:val="34"/>
  </w:num>
  <w:num w:numId="55">
    <w:abstractNumId w:val="36"/>
  </w:num>
  <w:num w:numId="56">
    <w:abstractNumId w:val="9"/>
  </w:num>
  <w:num w:numId="57">
    <w:abstractNumId w:val="15"/>
  </w:num>
  <w:num w:numId="58">
    <w:abstractNumId w:val="39"/>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6B"/>
    <w:rsid w:val="0000076D"/>
    <w:rsid w:val="0000664A"/>
    <w:rsid w:val="00006D0C"/>
    <w:rsid w:val="00015F83"/>
    <w:rsid w:val="00026B75"/>
    <w:rsid w:val="00027681"/>
    <w:rsid w:val="00032539"/>
    <w:rsid w:val="00040738"/>
    <w:rsid w:val="00041FCF"/>
    <w:rsid w:val="00061C75"/>
    <w:rsid w:val="0008431E"/>
    <w:rsid w:val="00090475"/>
    <w:rsid w:val="00090F5F"/>
    <w:rsid w:val="00097B6B"/>
    <w:rsid w:val="00097BDA"/>
    <w:rsid w:val="000A2F4F"/>
    <w:rsid w:val="000A628D"/>
    <w:rsid w:val="000B579F"/>
    <w:rsid w:val="000C253D"/>
    <w:rsid w:val="000D1A44"/>
    <w:rsid w:val="000D243E"/>
    <w:rsid w:val="000D4517"/>
    <w:rsid w:val="000E09FF"/>
    <w:rsid w:val="000E3781"/>
    <w:rsid w:val="000E4127"/>
    <w:rsid w:val="00101106"/>
    <w:rsid w:val="0010359B"/>
    <w:rsid w:val="00105B19"/>
    <w:rsid w:val="001133B4"/>
    <w:rsid w:val="00115E2C"/>
    <w:rsid w:val="00162B98"/>
    <w:rsid w:val="001772EA"/>
    <w:rsid w:val="00184705"/>
    <w:rsid w:val="001B5857"/>
    <w:rsid w:val="001B5FC9"/>
    <w:rsid w:val="001C00FE"/>
    <w:rsid w:val="001C2921"/>
    <w:rsid w:val="001C671A"/>
    <w:rsid w:val="001C6A39"/>
    <w:rsid w:val="001D6F8F"/>
    <w:rsid w:val="001F1F96"/>
    <w:rsid w:val="001F6206"/>
    <w:rsid w:val="001F7040"/>
    <w:rsid w:val="00222D31"/>
    <w:rsid w:val="00225B8E"/>
    <w:rsid w:val="00232624"/>
    <w:rsid w:val="00232E7E"/>
    <w:rsid w:val="00237187"/>
    <w:rsid w:val="00244FC7"/>
    <w:rsid w:val="002509BE"/>
    <w:rsid w:val="0025349C"/>
    <w:rsid w:val="00262DBD"/>
    <w:rsid w:val="00270E3E"/>
    <w:rsid w:val="00274FCE"/>
    <w:rsid w:val="00277A56"/>
    <w:rsid w:val="00287D3A"/>
    <w:rsid w:val="00293EDF"/>
    <w:rsid w:val="002A3A22"/>
    <w:rsid w:val="002A61AE"/>
    <w:rsid w:val="002B0B83"/>
    <w:rsid w:val="002C15D0"/>
    <w:rsid w:val="002D3424"/>
    <w:rsid w:val="002D65BC"/>
    <w:rsid w:val="002E6942"/>
    <w:rsid w:val="002F6C85"/>
    <w:rsid w:val="00301C19"/>
    <w:rsid w:val="00306690"/>
    <w:rsid w:val="00316D36"/>
    <w:rsid w:val="00317DCF"/>
    <w:rsid w:val="00324CD2"/>
    <w:rsid w:val="00324E2F"/>
    <w:rsid w:val="00331C6B"/>
    <w:rsid w:val="00334F5D"/>
    <w:rsid w:val="00347281"/>
    <w:rsid w:val="003522A7"/>
    <w:rsid w:val="00355110"/>
    <w:rsid w:val="0035625C"/>
    <w:rsid w:val="00357E67"/>
    <w:rsid w:val="0036385A"/>
    <w:rsid w:val="003663DE"/>
    <w:rsid w:val="00380487"/>
    <w:rsid w:val="003929D0"/>
    <w:rsid w:val="00397119"/>
    <w:rsid w:val="003974F8"/>
    <w:rsid w:val="003A03DE"/>
    <w:rsid w:val="003A0F68"/>
    <w:rsid w:val="003A1CD9"/>
    <w:rsid w:val="003B0290"/>
    <w:rsid w:val="003D547D"/>
    <w:rsid w:val="003D6B59"/>
    <w:rsid w:val="003D7E0C"/>
    <w:rsid w:val="003F23DB"/>
    <w:rsid w:val="003F2D54"/>
    <w:rsid w:val="004026E4"/>
    <w:rsid w:val="00404E72"/>
    <w:rsid w:val="004123DE"/>
    <w:rsid w:val="004230B8"/>
    <w:rsid w:val="00453D65"/>
    <w:rsid w:val="00470C0A"/>
    <w:rsid w:val="004A003C"/>
    <w:rsid w:val="004B7F06"/>
    <w:rsid w:val="004C3988"/>
    <w:rsid w:val="004C6639"/>
    <w:rsid w:val="004D3084"/>
    <w:rsid w:val="004D4D03"/>
    <w:rsid w:val="005213D3"/>
    <w:rsid w:val="00524AE9"/>
    <w:rsid w:val="0052624B"/>
    <w:rsid w:val="005266F3"/>
    <w:rsid w:val="005269BC"/>
    <w:rsid w:val="005330B1"/>
    <w:rsid w:val="00534AE8"/>
    <w:rsid w:val="00546141"/>
    <w:rsid w:val="00575E6B"/>
    <w:rsid w:val="0057760C"/>
    <w:rsid w:val="00590D81"/>
    <w:rsid w:val="005A3171"/>
    <w:rsid w:val="005A5582"/>
    <w:rsid w:val="005B5457"/>
    <w:rsid w:val="005F4E35"/>
    <w:rsid w:val="006014A0"/>
    <w:rsid w:val="00612F73"/>
    <w:rsid w:val="00626806"/>
    <w:rsid w:val="00627868"/>
    <w:rsid w:val="00635B00"/>
    <w:rsid w:val="0063639C"/>
    <w:rsid w:val="006375F2"/>
    <w:rsid w:val="00643057"/>
    <w:rsid w:val="00643692"/>
    <w:rsid w:val="00650DD4"/>
    <w:rsid w:val="006538C2"/>
    <w:rsid w:val="00660A84"/>
    <w:rsid w:val="006667D5"/>
    <w:rsid w:val="006706AC"/>
    <w:rsid w:val="006923C1"/>
    <w:rsid w:val="006A1F8C"/>
    <w:rsid w:val="006C6324"/>
    <w:rsid w:val="006D2111"/>
    <w:rsid w:val="006D5469"/>
    <w:rsid w:val="006D6953"/>
    <w:rsid w:val="006E078A"/>
    <w:rsid w:val="006E419A"/>
    <w:rsid w:val="006E560C"/>
    <w:rsid w:val="00701756"/>
    <w:rsid w:val="00701FC3"/>
    <w:rsid w:val="00722F13"/>
    <w:rsid w:val="00743E62"/>
    <w:rsid w:val="007449B9"/>
    <w:rsid w:val="0075176B"/>
    <w:rsid w:val="00782360"/>
    <w:rsid w:val="007873F2"/>
    <w:rsid w:val="00790906"/>
    <w:rsid w:val="007B1136"/>
    <w:rsid w:val="007B1E8F"/>
    <w:rsid w:val="007B449F"/>
    <w:rsid w:val="007B5ACC"/>
    <w:rsid w:val="007B60DF"/>
    <w:rsid w:val="007C2C20"/>
    <w:rsid w:val="007C4C65"/>
    <w:rsid w:val="007C5958"/>
    <w:rsid w:val="007D45AA"/>
    <w:rsid w:val="007E04F7"/>
    <w:rsid w:val="007F0D16"/>
    <w:rsid w:val="00806A9F"/>
    <w:rsid w:val="008352FC"/>
    <w:rsid w:val="008523F3"/>
    <w:rsid w:val="008546BE"/>
    <w:rsid w:val="00857A6F"/>
    <w:rsid w:val="00880310"/>
    <w:rsid w:val="008809E8"/>
    <w:rsid w:val="008844E4"/>
    <w:rsid w:val="00886A3C"/>
    <w:rsid w:val="008B44C2"/>
    <w:rsid w:val="008B6960"/>
    <w:rsid w:val="008D4D2F"/>
    <w:rsid w:val="008E2111"/>
    <w:rsid w:val="008E386B"/>
    <w:rsid w:val="008E668F"/>
    <w:rsid w:val="008F418D"/>
    <w:rsid w:val="009073F8"/>
    <w:rsid w:val="00926344"/>
    <w:rsid w:val="00931D42"/>
    <w:rsid w:val="00960A96"/>
    <w:rsid w:val="00963076"/>
    <w:rsid w:val="00983F64"/>
    <w:rsid w:val="009842C7"/>
    <w:rsid w:val="00985859"/>
    <w:rsid w:val="00995437"/>
    <w:rsid w:val="009960AD"/>
    <w:rsid w:val="00997EA4"/>
    <w:rsid w:val="009A7882"/>
    <w:rsid w:val="009A7ECB"/>
    <w:rsid w:val="009C471A"/>
    <w:rsid w:val="009D2955"/>
    <w:rsid w:val="009E0E65"/>
    <w:rsid w:val="009F566D"/>
    <w:rsid w:val="009F6A28"/>
    <w:rsid w:val="00A04AC3"/>
    <w:rsid w:val="00A07E0A"/>
    <w:rsid w:val="00A134B2"/>
    <w:rsid w:val="00A13EDD"/>
    <w:rsid w:val="00A22168"/>
    <w:rsid w:val="00A22AC3"/>
    <w:rsid w:val="00A42C3F"/>
    <w:rsid w:val="00A5777C"/>
    <w:rsid w:val="00A62011"/>
    <w:rsid w:val="00A63D81"/>
    <w:rsid w:val="00A64680"/>
    <w:rsid w:val="00A667A4"/>
    <w:rsid w:val="00A80FF2"/>
    <w:rsid w:val="00A8621D"/>
    <w:rsid w:val="00A916E1"/>
    <w:rsid w:val="00A9394D"/>
    <w:rsid w:val="00A93EE5"/>
    <w:rsid w:val="00AA46D1"/>
    <w:rsid w:val="00AB119F"/>
    <w:rsid w:val="00AD431A"/>
    <w:rsid w:val="00AE0A2A"/>
    <w:rsid w:val="00AE11CD"/>
    <w:rsid w:val="00AF2F98"/>
    <w:rsid w:val="00B00722"/>
    <w:rsid w:val="00B203F6"/>
    <w:rsid w:val="00B314B2"/>
    <w:rsid w:val="00B32EFC"/>
    <w:rsid w:val="00B37C0F"/>
    <w:rsid w:val="00B47360"/>
    <w:rsid w:val="00B63399"/>
    <w:rsid w:val="00B74ABB"/>
    <w:rsid w:val="00B80F59"/>
    <w:rsid w:val="00B865D4"/>
    <w:rsid w:val="00B900ED"/>
    <w:rsid w:val="00BA6B75"/>
    <w:rsid w:val="00BB487F"/>
    <w:rsid w:val="00BB5F68"/>
    <w:rsid w:val="00BD67FE"/>
    <w:rsid w:val="00BD7327"/>
    <w:rsid w:val="00BE42CC"/>
    <w:rsid w:val="00BE65DA"/>
    <w:rsid w:val="00C06A9F"/>
    <w:rsid w:val="00C13819"/>
    <w:rsid w:val="00C2414E"/>
    <w:rsid w:val="00C25B59"/>
    <w:rsid w:val="00C40E16"/>
    <w:rsid w:val="00C4148B"/>
    <w:rsid w:val="00C437C4"/>
    <w:rsid w:val="00C52603"/>
    <w:rsid w:val="00C60B5A"/>
    <w:rsid w:val="00C649F8"/>
    <w:rsid w:val="00C824E0"/>
    <w:rsid w:val="00C954EA"/>
    <w:rsid w:val="00C96582"/>
    <w:rsid w:val="00CA27DF"/>
    <w:rsid w:val="00CA2F5C"/>
    <w:rsid w:val="00CB22B2"/>
    <w:rsid w:val="00CB6448"/>
    <w:rsid w:val="00CC7ED2"/>
    <w:rsid w:val="00CC7EFB"/>
    <w:rsid w:val="00CD7D09"/>
    <w:rsid w:val="00CE1314"/>
    <w:rsid w:val="00CF0265"/>
    <w:rsid w:val="00CF42BF"/>
    <w:rsid w:val="00D0132B"/>
    <w:rsid w:val="00D057D0"/>
    <w:rsid w:val="00D16F11"/>
    <w:rsid w:val="00D20897"/>
    <w:rsid w:val="00D23D89"/>
    <w:rsid w:val="00D43B2A"/>
    <w:rsid w:val="00D45D46"/>
    <w:rsid w:val="00D51EB7"/>
    <w:rsid w:val="00D5652C"/>
    <w:rsid w:val="00D61FF9"/>
    <w:rsid w:val="00D625FC"/>
    <w:rsid w:val="00D66EEE"/>
    <w:rsid w:val="00D6750F"/>
    <w:rsid w:val="00D749E7"/>
    <w:rsid w:val="00D75BF4"/>
    <w:rsid w:val="00D915F4"/>
    <w:rsid w:val="00D93320"/>
    <w:rsid w:val="00D94709"/>
    <w:rsid w:val="00DA4238"/>
    <w:rsid w:val="00DA75CC"/>
    <w:rsid w:val="00DD26CF"/>
    <w:rsid w:val="00DD53A8"/>
    <w:rsid w:val="00DD6627"/>
    <w:rsid w:val="00DE45DA"/>
    <w:rsid w:val="00DF6D49"/>
    <w:rsid w:val="00E0191D"/>
    <w:rsid w:val="00E42DC0"/>
    <w:rsid w:val="00E50216"/>
    <w:rsid w:val="00E53B4F"/>
    <w:rsid w:val="00E57524"/>
    <w:rsid w:val="00E71E3D"/>
    <w:rsid w:val="00E84883"/>
    <w:rsid w:val="00E861E3"/>
    <w:rsid w:val="00E87FAF"/>
    <w:rsid w:val="00E95FA1"/>
    <w:rsid w:val="00EA541F"/>
    <w:rsid w:val="00EB165B"/>
    <w:rsid w:val="00EB5271"/>
    <w:rsid w:val="00ED013D"/>
    <w:rsid w:val="00ED5942"/>
    <w:rsid w:val="00ED64A1"/>
    <w:rsid w:val="00EE1F8F"/>
    <w:rsid w:val="00EF4389"/>
    <w:rsid w:val="00EF5357"/>
    <w:rsid w:val="00F0700A"/>
    <w:rsid w:val="00F3315D"/>
    <w:rsid w:val="00F45376"/>
    <w:rsid w:val="00F46978"/>
    <w:rsid w:val="00F75A41"/>
    <w:rsid w:val="00F857DD"/>
    <w:rsid w:val="00F942F3"/>
    <w:rsid w:val="00FA3DFC"/>
    <w:rsid w:val="00FB492A"/>
    <w:rsid w:val="00FD6B77"/>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eaeaea"/>
    </o:shapedefaults>
    <o:shapelayout v:ext="edit">
      <o:idmap v:ext="edit" data="1"/>
    </o:shapelayout>
  </w:shapeDefaults>
  <w:decimalSymbol w:val="."/>
  <w:listSeparator w:val=","/>
  <w14:docId w14:val="4CBACCB9"/>
  <w15:docId w15:val="{9525917F-51EE-4613-9181-958F7583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semiHidden="1" w:uiPriority="3"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uiPriority w:val="2"/>
    <w:qFormat/>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E87FAF"/>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2"/>
    <w:qFormat/>
    <w:rsid w:val="00E87FAF"/>
    <w:pPr>
      <w:outlineLvl w:val="2"/>
    </w:pPr>
    <w:rPr>
      <w:bCs w:val="0"/>
      <w:i/>
      <w:caps w:val="0"/>
      <w:szCs w:val="26"/>
    </w:rPr>
  </w:style>
  <w:style w:type="paragraph" w:styleId="Heading4">
    <w:name w:val="heading 4"/>
    <w:basedOn w:val="Normal"/>
    <w:next w:val="ParaPlain"/>
    <w:uiPriority w:val="2"/>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DE45DA"/>
    <w:pPr>
      <w:spacing w:line="220" w:lineRule="exact"/>
      <w:outlineLvl w:val="5"/>
    </w:pPr>
    <w:rPr>
      <w:bCs w:val="0"/>
      <w:sz w:val="22"/>
      <w:szCs w:val="22"/>
    </w:rPr>
  </w:style>
  <w:style w:type="paragraph" w:styleId="Heading7">
    <w:name w:val="heading 7"/>
    <w:basedOn w:val="Heading6"/>
    <w:next w:val="ParaLevel1"/>
    <w:uiPriority w:val="2"/>
    <w:qFormat/>
    <w:rsid w:val="00E87FAF"/>
    <w:pPr>
      <w:outlineLvl w:val="6"/>
    </w:pPr>
    <w:rPr>
      <w:b w:val="0"/>
      <w:i/>
      <w:szCs w:val="24"/>
    </w:rPr>
  </w:style>
  <w:style w:type="paragraph" w:styleId="Heading8">
    <w:name w:val="heading 8"/>
    <w:basedOn w:val="Heading6"/>
    <w:next w:val="ParaLevel1"/>
    <w:link w:val="Heading8Char"/>
    <w:uiPriority w:val="2"/>
    <w:qFormat/>
    <w:rsid w:val="00E87FAF"/>
    <w:pPr>
      <w:outlineLvl w:val="7"/>
    </w:pPr>
    <w:rPr>
      <w:b w:val="0"/>
    </w:rPr>
  </w:style>
  <w:style w:type="paragraph" w:styleId="Heading9">
    <w:name w:val="heading 9"/>
    <w:basedOn w:val="Normal"/>
    <w:link w:val="Heading9Char"/>
    <w:uiPriority w:val="9"/>
    <w:semiHidden/>
    <w:rsid w:val="000E3781"/>
    <w:pPr>
      <w:numPr>
        <w:ilvl w:val="8"/>
        <w:numId w:val="6"/>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2"/>
    <w:rsid w:val="003A0F68"/>
    <w:rPr>
      <w:iCs/>
      <w:szCs w:val="22"/>
      <w:lang w:eastAsia="en-US"/>
    </w:rPr>
  </w:style>
  <w:style w:type="paragraph" w:styleId="FootnoteText">
    <w:name w:val="footnote text"/>
    <w:basedOn w:val="Normal"/>
    <w:link w:val="FootnoteTextChar"/>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48"/>
      </w:numPr>
      <w:outlineLvl w:val="0"/>
    </w:pPr>
  </w:style>
  <w:style w:type="paragraph" w:customStyle="1" w:styleId="ParaLevel1">
    <w:name w:val="ParaLevel1"/>
    <w:basedOn w:val="ParaPlain"/>
    <w:uiPriority w:val="1"/>
    <w:qFormat/>
    <w:rsid w:val="001C671A"/>
    <w:pPr>
      <w:numPr>
        <w:numId w:val="4"/>
      </w:numPr>
    </w:pPr>
  </w:style>
  <w:style w:type="paragraph" w:customStyle="1" w:styleId="ParaLevel2">
    <w:name w:val="ParaLevel2"/>
    <w:basedOn w:val="ParaPlain"/>
    <w:uiPriority w:val="1"/>
    <w:rsid w:val="001C671A"/>
    <w:pPr>
      <w:numPr>
        <w:ilvl w:val="1"/>
        <w:numId w:val="4"/>
      </w:numPr>
    </w:pPr>
  </w:style>
  <w:style w:type="paragraph" w:customStyle="1" w:styleId="ParaLevel3">
    <w:name w:val="ParaLevel3"/>
    <w:basedOn w:val="ParaPlain"/>
    <w:uiPriority w:val="1"/>
    <w:rsid w:val="001C671A"/>
    <w:pPr>
      <w:numPr>
        <w:ilvl w:val="2"/>
        <w:numId w:val="4"/>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7"/>
    <w:rsid w:val="00E87FAF"/>
    <w:pPr>
      <w:spacing w:line="320" w:lineRule="exact"/>
      <w:jc w:val="right"/>
    </w:pPr>
    <w:rPr>
      <w:b/>
      <w:caps/>
      <w:sz w:val="32"/>
    </w:rPr>
  </w:style>
  <w:style w:type="paragraph" w:customStyle="1" w:styleId="CoverDate">
    <w:name w:val="Cover Date"/>
    <w:basedOn w:val="Normal"/>
    <w:next w:val="Normal"/>
    <w:uiPriority w:val="7"/>
    <w:rsid w:val="00DE45DA"/>
    <w:pPr>
      <w:spacing w:after="800"/>
      <w:jc w:val="right"/>
    </w:pPr>
    <w:rPr>
      <w:sz w:val="20"/>
    </w:rPr>
  </w:style>
  <w:style w:type="paragraph" w:customStyle="1" w:styleId="CoverTitle">
    <w:name w:val="Cover Title"/>
    <w:basedOn w:val="Normal"/>
    <w:uiPriority w:val="7"/>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48"/>
      </w:numPr>
      <w:outlineLvl w:val="1"/>
    </w:pPr>
  </w:style>
  <w:style w:type="paragraph" w:customStyle="1" w:styleId="ListBullet3">
    <w:name w:val="ListBullet3"/>
    <w:basedOn w:val="ParaPlain"/>
    <w:uiPriority w:val="2"/>
    <w:qFormat/>
    <w:rsid w:val="00AE0A2A"/>
    <w:pPr>
      <w:numPr>
        <w:ilvl w:val="2"/>
        <w:numId w:val="48"/>
      </w:numPr>
      <w:outlineLvl w:val="2"/>
    </w:pPr>
  </w:style>
  <w:style w:type="paragraph" w:customStyle="1" w:styleId="ListBullet4">
    <w:name w:val="ListBullet4"/>
    <w:basedOn w:val="ParaPlain"/>
    <w:uiPriority w:val="2"/>
    <w:qFormat/>
    <w:rsid w:val="00AE0A2A"/>
    <w:pPr>
      <w:numPr>
        <w:ilvl w:val="3"/>
        <w:numId w:val="48"/>
      </w:numPr>
      <w:outlineLvl w:val="3"/>
    </w:pPr>
  </w:style>
  <w:style w:type="paragraph" w:customStyle="1" w:styleId="AParaLevel2">
    <w:name w:val="AParaLevel2"/>
    <w:basedOn w:val="ParaPlain"/>
    <w:uiPriority w:val="2"/>
    <w:rsid w:val="0036385A"/>
    <w:pPr>
      <w:numPr>
        <w:ilvl w:val="1"/>
        <w:numId w:val="3"/>
      </w:numPr>
      <w:outlineLvl w:val="1"/>
    </w:pPr>
  </w:style>
  <w:style w:type="paragraph" w:customStyle="1" w:styleId="AParaLevel3">
    <w:name w:val="AParaLevel3"/>
    <w:basedOn w:val="ParaPlain"/>
    <w:uiPriority w:val="2"/>
    <w:rsid w:val="0036385A"/>
    <w:pPr>
      <w:numPr>
        <w:ilvl w:val="2"/>
        <w:numId w:val="3"/>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6385A"/>
    <w:pPr>
      <w:numPr>
        <w:numId w:val="3"/>
      </w:numPr>
    </w:pPr>
  </w:style>
  <w:style w:type="numbering" w:customStyle="1" w:styleId="AUASBParaLevels">
    <w:name w:val="AUASBParaLevels"/>
    <w:uiPriority w:val="99"/>
    <w:rsid w:val="001C671A"/>
    <w:pPr>
      <w:numPr>
        <w:numId w:val="4"/>
      </w:numPr>
    </w:pPr>
  </w:style>
  <w:style w:type="numbering" w:customStyle="1" w:styleId="AUASBListNumParas">
    <w:name w:val="AUASBListNumParas"/>
    <w:uiPriority w:val="99"/>
    <w:rsid w:val="001C671A"/>
    <w:pPr>
      <w:numPr>
        <w:numId w:val="5"/>
      </w:numPr>
    </w:pPr>
  </w:style>
  <w:style w:type="character" w:customStyle="1" w:styleId="Heading1Char">
    <w:name w:val="Heading 1 Char"/>
    <w:basedOn w:val="DefaultParagraphFont"/>
    <w:link w:val="Heading1"/>
    <w:uiPriority w:val="2"/>
    <w:rsid w:val="00985859"/>
    <w:rPr>
      <w:rFonts w:cs="Arial"/>
      <w:bCs/>
      <w:caps/>
      <w:sz w:val="32"/>
      <w:szCs w:val="32"/>
      <w:lang w:eastAsia="en-US"/>
    </w:rPr>
  </w:style>
  <w:style w:type="paragraph" w:customStyle="1" w:styleId="Divider">
    <w:name w:val="Divider"/>
    <w:basedOn w:val="ParaPlain"/>
    <w:uiPriority w:val="7"/>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9Char">
    <w:name w:val="Heading 9 Char"/>
    <w:basedOn w:val="DefaultParagraphFont"/>
    <w:link w:val="Heading9"/>
    <w:uiPriority w:val="9"/>
    <w:semiHidden/>
    <w:rsid w:val="000E3781"/>
    <w:rPr>
      <w:rFonts w:cs="Arial"/>
      <w:sz w:val="22"/>
      <w:szCs w:val="22"/>
    </w:rPr>
  </w:style>
  <w:style w:type="character" w:customStyle="1" w:styleId="Heading6Char">
    <w:name w:val="Heading 6 Char"/>
    <w:basedOn w:val="DefaultParagraphFont"/>
    <w:link w:val="Heading6"/>
    <w:uiPriority w:val="2"/>
    <w:rsid w:val="000E3781"/>
    <w:rPr>
      <w:b/>
      <w:iCs/>
      <w:sz w:val="22"/>
      <w:szCs w:val="22"/>
      <w:lang w:eastAsia="en-US"/>
    </w:rPr>
  </w:style>
  <w:style w:type="paragraph" w:customStyle="1" w:styleId="p1">
    <w:name w:val="p1"/>
    <w:basedOn w:val="Normal"/>
    <w:rsid w:val="008E668F"/>
    <w:pPr>
      <w:spacing w:after="150" w:line="165" w:lineRule="atLeast"/>
    </w:pPr>
    <w:rPr>
      <w:sz w:val="17"/>
      <w:szCs w:val="17"/>
      <w:lang w:val="en-GB" w:eastAsia="en-GB"/>
    </w:rPr>
  </w:style>
  <w:style w:type="paragraph" w:customStyle="1" w:styleId="p2">
    <w:name w:val="p2"/>
    <w:basedOn w:val="Normal"/>
    <w:rsid w:val="008E668F"/>
    <w:pPr>
      <w:spacing w:after="150" w:line="165" w:lineRule="atLeast"/>
      <w:ind w:left="533"/>
    </w:pPr>
    <w:rPr>
      <w:sz w:val="17"/>
      <w:szCs w:val="17"/>
      <w:lang w:val="en-GB" w:eastAsia="en-GB"/>
    </w:rPr>
  </w:style>
  <w:style w:type="paragraph" w:customStyle="1" w:styleId="p3">
    <w:name w:val="p3"/>
    <w:basedOn w:val="Normal"/>
    <w:rsid w:val="008E668F"/>
    <w:pPr>
      <w:spacing w:line="165" w:lineRule="atLeast"/>
    </w:pPr>
    <w:rPr>
      <w:sz w:val="17"/>
      <w:szCs w:val="17"/>
      <w:lang w:val="en-GB" w:eastAsia="en-GB"/>
    </w:rPr>
  </w:style>
  <w:style w:type="character" w:customStyle="1" w:styleId="apple-tab-span">
    <w:name w:val="apple-tab-span"/>
    <w:basedOn w:val="DefaultParagraphFont"/>
    <w:rsid w:val="008E668F"/>
  </w:style>
  <w:style w:type="paragraph" w:styleId="BalloonText">
    <w:name w:val="Balloon Text"/>
    <w:basedOn w:val="Normal"/>
    <w:link w:val="BalloonTextChar"/>
    <w:semiHidden/>
    <w:rsid w:val="009A788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7882"/>
    <w:rPr>
      <w:rFonts w:ascii="Tahoma" w:hAnsi="Tahoma" w:cs="Tahoma"/>
      <w:sz w:val="16"/>
      <w:szCs w:val="16"/>
      <w:lang w:eastAsia="en-US"/>
    </w:rPr>
  </w:style>
  <w:style w:type="paragraph" w:customStyle="1" w:styleId="TableLevel1">
    <w:name w:val="TableLevel1"/>
    <w:basedOn w:val="ParaPlain"/>
    <w:link w:val="TableLevel1Char"/>
    <w:uiPriority w:val="6"/>
    <w:qFormat/>
    <w:rsid w:val="009A7882"/>
    <w:pPr>
      <w:numPr>
        <w:numId w:val="13"/>
      </w:numPr>
    </w:pPr>
  </w:style>
  <w:style w:type="paragraph" w:customStyle="1" w:styleId="TableLevel2">
    <w:name w:val="TableLevel2"/>
    <w:basedOn w:val="ParaPlain"/>
    <w:link w:val="TableLevel2Char"/>
    <w:uiPriority w:val="6"/>
    <w:qFormat/>
    <w:rsid w:val="009A7882"/>
    <w:pPr>
      <w:numPr>
        <w:ilvl w:val="1"/>
        <w:numId w:val="13"/>
      </w:numPr>
    </w:pPr>
  </w:style>
  <w:style w:type="character" w:customStyle="1" w:styleId="TableLevel1Char">
    <w:name w:val="TableLevel1 Char"/>
    <w:basedOn w:val="ParaPlainChar"/>
    <w:link w:val="TableLevel1"/>
    <w:uiPriority w:val="6"/>
    <w:rsid w:val="009A7882"/>
    <w:rPr>
      <w:sz w:val="22"/>
      <w:lang w:eastAsia="en-US"/>
    </w:rPr>
  </w:style>
  <w:style w:type="paragraph" w:customStyle="1" w:styleId="TableLevel3">
    <w:name w:val="TableLevel3"/>
    <w:basedOn w:val="ParaPlain"/>
    <w:link w:val="TableLevel3Char"/>
    <w:uiPriority w:val="6"/>
    <w:qFormat/>
    <w:rsid w:val="009A7882"/>
    <w:pPr>
      <w:numPr>
        <w:ilvl w:val="2"/>
        <w:numId w:val="13"/>
      </w:numPr>
    </w:pPr>
  </w:style>
  <w:style w:type="character" w:customStyle="1" w:styleId="TableLevel2Char">
    <w:name w:val="TableLevel2 Char"/>
    <w:basedOn w:val="ParaPlainChar"/>
    <w:link w:val="TableLevel2"/>
    <w:uiPriority w:val="6"/>
    <w:rsid w:val="009A7882"/>
    <w:rPr>
      <w:sz w:val="22"/>
      <w:lang w:eastAsia="en-US"/>
    </w:rPr>
  </w:style>
  <w:style w:type="numbering" w:customStyle="1" w:styleId="TableNumbers">
    <w:name w:val="TableNumbers"/>
    <w:uiPriority w:val="99"/>
    <w:rsid w:val="009A7882"/>
    <w:pPr>
      <w:numPr>
        <w:numId w:val="10"/>
      </w:numPr>
    </w:pPr>
  </w:style>
  <w:style w:type="character" w:customStyle="1" w:styleId="TableLevel3Char">
    <w:name w:val="TableLevel3 Char"/>
    <w:basedOn w:val="ParaPlainChar"/>
    <w:link w:val="TableLevel3"/>
    <w:uiPriority w:val="6"/>
    <w:rsid w:val="009A7882"/>
    <w:rPr>
      <w:sz w:val="22"/>
      <w:lang w:eastAsia="en-US"/>
    </w:rPr>
  </w:style>
  <w:style w:type="character" w:styleId="PlaceholderText">
    <w:name w:val="Placeholder Text"/>
    <w:basedOn w:val="DefaultParagraphFont"/>
    <w:uiPriority w:val="99"/>
    <w:semiHidden/>
    <w:rsid w:val="009A7882"/>
    <w:rPr>
      <w:color w:val="808080"/>
    </w:rPr>
  </w:style>
  <w:style w:type="character" w:customStyle="1" w:styleId="Heading3Char">
    <w:name w:val="Heading 3 Char"/>
    <w:link w:val="Heading3"/>
    <w:uiPriority w:val="2"/>
    <w:rsid w:val="009A7882"/>
    <w:rPr>
      <w:b/>
      <w:i/>
      <w:iCs/>
      <w:sz w:val="28"/>
      <w:szCs w:val="26"/>
      <w:lang w:eastAsia="en-US"/>
    </w:rPr>
  </w:style>
  <w:style w:type="character" w:customStyle="1" w:styleId="FootnoteTextChar">
    <w:name w:val="Footnote Text Char"/>
    <w:basedOn w:val="DefaultParagraphFont"/>
    <w:link w:val="FootnoteText"/>
    <w:rsid w:val="009A7882"/>
    <w:rPr>
      <w:sz w:val="16"/>
      <w:lang w:eastAsia="en-US"/>
    </w:rPr>
  </w:style>
  <w:style w:type="paragraph" w:styleId="ListParagraph">
    <w:name w:val="List Paragraph"/>
    <w:basedOn w:val="Normal"/>
    <w:uiPriority w:val="34"/>
    <w:semiHidden/>
    <w:rsid w:val="009A7882"/>
    <w:pPr>
      <w:ind w:left="720"/>
      <w:contextualSpacing/>
    </w:pPr>
  </w:style>
  <w:style w:type="character" w:customStyle="1" w:styleId="Heading5Char">
    <w:name w:val="Heading 5 Char"/>
    <w:basedOn w:val="DefaultParagraphFont"/>
    <w:link w:val="Heading5"/>
    <w:uiPriority w:val="3"/>
    <w:rsid w:val="009A7882"/>
    <w:rPr>
      <w:b/>
      <w:bCs/>
      <w:iCs/>
      <w:sz w:val="26"/>
      <w:szCs w:val="26"/>
      <w:lang w:eastAsia="en-US"/>
    </w:rPr>
  </w:style>
  <w:style w:type="character" w:styleId="FollowedHyperlink">
    <w:name w:val="FollowedHyperlink"/>
    <w:basedOn w:val="DefaultParagraphFont"/>
    <w:semiHidden/>
    <w:rsid w:val="009A7882"/>
    <w:rPr>
      <w:color w:val="800080" w:themeColor="followedHyperlink"/>
      <w:u w:val="single"/>
    </w:rPr>
  </w:style>
  <w:style w:type="numbering" w:customStyle="1" w:styleId="AUASBListBullets1">
    <w:name w:val="AUASBListBullets1"/>
    <w:uiPriority w:val="99"/>
    <w:rsid w:val="009A7882"/>
  </w:style>
  <w:style w:type="numbering" w:customStyle="1" w:styleId="AUASBListBullets2">
    <w:name w:val="AUASBListBullets2"/>
    <w:uiPriority w:val="99"/>
    <w:rsid w:val="009A7882"/>
  </w:style>
  <w:style w:type="paragraph" w:styleId="BodyText">
    <w:name w:val="Body Text"/>
    <w:basedOn w:val="Normal"/>
    <w:link w:val="BodyTextChar"/>
    <w:uiPriority w:val="1"/>
    <w:qFormat/>
    <w:rsid w:val="00FD6B77"/>
    <w:pPr>
      <w:widowControl w:val="0"/>
      <w:autoSpaceDE w:val="0"/>
      <w:autoSpaceDN w:val="0"/>
      <w:spacing w:line="240" w:lineRule="auto"/>
    </w:pPr>
    <w:rPr>
      <w:szCs w:val="22"/>
      <w:lang w:val="en-US"/>
    </w:rPr>
  </w:style>
  <w:style w:type="character" w:customStyle="1" w:styleId="BodyTextChar">
    <w:name w:val="Body Text Char"/>
    <w:basedOn w:val="DefaultParagraphFont"/>
    <w:link w:val="BodyText"/>
    <w:uiPriority w:val="1"/>
    <w:rsid w:val="00FD6B7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sb.gov.au/Home.aspx" TargetMode="External"/><Relationship Id="rId18" Type="http://schemas.openxmlformats.org/officeDocument/2006/relationships/hyperlink" Target="http://www.auasb.gov.au/Hom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uasb.gov.au/Home.aspx" TargetMode="External"/><Relationship Id="rId17" Type="http://schemas.openxmlformats.org/officeDocument/2006/relationships/hyperlink" Target="http://www.auasb.gov.au/Home.aspx" TargetMode="External"/><Relationship Id="rId2" Type="http://schemas.openxmlformats.org/officeDocument/2006/relationships/customXml" Target="../customXml/item2.xml"/><Relationship Id="rId16" Type="http://schemas.openxmlformats.org/officeDocument/2006/relationships/hyperlink" Target="http://www.auasb.gov.au/Hom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asb.gov.au/Home.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asb.gov.au/Home.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asb.gov.au/Home.asp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ke\AUSTRALIAN%20ACCOUNTING%20STANDARDS%20-%20AUDITING%20AND%20ASSURANCE%20STANDARDS%20BOARD\OfficeTemplates%20-%20Documents\Template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9CCD-38FF-4383-B387-CBFB3F686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54860-8663-4D32-A806-2F645CC19AE4}">
  <ds:schemaRefs>
    <ds:schemaRef ds:uri="http://schemas.microsoft.com/sharepoint/v3/contenttype/forms"/>
  </ds:schemaRefs>
</ds:datastoreItem>
</file>

<file path=customXml/itemProps3.xml><?xml version="1.0" encoding="utf-8"?>
<ds:datastoreItem xmlns:ds="http://schemas.openxmlformats.org/officeDocument/2006/customXml" ds:itemID="{3050F635-4316-4CED-9B7B-33616265C0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D185F-88EE-4A38-A262-3FBC593B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6</TotalTime>
  <Pages>15</Pages>
  <Words>6672</Words>
  <Characters>37674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Dowling, Mark</dc:creator>
  <cp:lastModifiedBy>James Wake</cp:lastModifiedBy>
  <cp:revision>3</cp:revision>
  <cp:lastPrinted>2019-01-09T06:36:00Z</cp:lastPrinted>
  <dcterms:created xsi:type="dcterms:W3CDTF">2021-04-13T05:52:00Z</dcterms:created>
  <dcterms:modified xsi:type="dcterms:W3CDTF">2021-04-13T05:58:00Z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