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52FA8" w14:textId="77777777" w:rsidR="004E01D3" w:rsidRDefault="00582B2A" w:rsidP="00D6750F">
      <w:pPr>
        <w:pStyle w:val="AppendixTop"/>
      </w:pPr>
      <w:r>
        <w:t>Appendix 1</w:t>
      </w:r>
    </w:p>
    <w:p w14:paraId="67422170" w14:textId="401A6149" w:rsidR="004E01D3" w:rsidRDefault="004E01D3" w:rsidP="00D6750F">
      <w:pPr>
        <w:pStyle w:val="AppendixRef"/>
      </w:pPr>
      <w:r>
        <w:t>(</w:t>
      </w:r>
      <w:r w:rsidR="00582B2A">
        <w:t>Ref: Para. </w:t>
      </w:r>
      <w:r w:rsidR="00613A8E">
        <w:fldChar w:fldCharType="begin"/>
      </w:r>
      <w:r w:rsidR="00613A8E">
        <w:instrText xml:space="preserve"> REF _Ref486514046 \r \h </w:instrText>
      </w:r>
      <w:r w:rsidR="00613A8E">
        <w:fldChar w:fldCharType="separate"/>
      </w:r>
      <w:r w:rsidR="008254E6">
        <w:t>A56</w:t>
      </w:r>
      <w:r w:rsidR="00613A8E">
        <w:fldChar w:fldCharType="end"/>
      </w:r>
      <w:r>
        <w:t>)</w:t>
      </w:r>
    </w:p>
    <w:p w14:paraId="6F09A49E" w14:textId="77777777" w:rsidR="00884669" w:rsidRPr="00884669" w:rsidRDefault="00884669" w:rsidP="006F6EF4">
      <w:pPr>
        <w:pStyle w:val="Heading5"/>
      </w:pPr>
      <w:r w:rsidRPr="00884669">
        <w:t xml:space="preserve">Illustrative Engagement Letter for an Engagement to Review Historical Financial Statements </w:t>
      </w:r>
    </w:p>
    <w:p w14:paraId="5FFD46EB" w14:textId="77777777" w:rsidR="00884669" w:rsidRPr="00884669" w:rsidRDefault="00884669" w:rsidP="006F6EF4">
      <w:pPr>
        <w:pStyle w:val="ParaPlain"/>
      </w:pPr>
      <w:r w:rsidRPr="00884669">
        <w:t xml:space="preserve">The following is an example of an engagement letter for a review of </w:t>
      </w:r>
      <w:proofErr w:type="gramStart"/>
      <w:r w:rsidRPr="00884669">
        <w:t>general purpose</w:t>
      </w:r>
      <w:proofErr w:type="gramEnd"/>
      <w:r w:rsidRPr="00884669">
        <w:t xml:space="preserve"> financial statements (prepared in accordance with </w:t>
      </w:r>
      <w:r w:rsidR="00DF1333">
        <w:t>Australian Accounting</w:t>
      </w:r>
      <w:r w:rsidRPr="00884669">
        <w:t xml:space="preserve"> Standards, which illustrates the relevant requirements and guidance contained in this </w:t>
      </w:r>
      <w:r w:rsidR="006A62E2">
        <w:t>ASRE</w:t>
      </w:r>
      <w:r w:rsidRPr="00884669">
        <w:t xml:space="preserve">. </w:t>
      </w:r>
      <w:r w:rsidR="007B0D3D">
        <w:t xml:space="preserve"> </w:t>
      </w:r>
      <w:r w:rsidRPr="00884669">
        <w:t xml:space="preserve">This letter is not authoritative but is intended only to be a guide that may be used in conjunction with the considerations outlined in this </w:t>
      </w:r>
      <w:r w:rsidR="006A62E2">
        <w:t>ASRE</w:t>
      </w:r>
      <w:r w:rsidRPr="00884669">
        <w:t xml:space="preserve">. </w:t>
      </w:r>
      <w:r w:rsidR="007B0D3D">
        <w:t xml:space="preserve"> </w:t>
      </w:r>
      <w:r w:rsidRPr="00884669">
        <w:t xml:space="preserve">It will need to be varied according to individual requirements and circumstances. </w:t>
      </w:r>
      <w:r w:rsidR="007B0D3D">
        <w:t xml:space="preserve"> </w:t>
      </w:r>
      <w:r w:rsidRPr="00884669">
        <w:t xml:space="preserve">It is drafted to refer to the review of financial statements for a single reporting period and would require adaptation if intended or expected to apply to recurring reviews. </w:t>
      </w:r>
      <w:r w:rsidR="007B0D3D">
        <w:t xml:space="preserve"> </w:t>
      </w:r>
      <w:r w:rsidRPr="00884669">
        <w:t xml:space="preserve">It may be appropriate to seek legal advice that any proposed letter is suitable. </w:t>
      </w:r>
    </w:p>
    <w:p w14:paraId="12969997" w14:textId="77777777" w:rsidR="00884669" w:rsidRPr="00884669" w:rsidRDefault="00884669" w:rsidP="00A86F40">
      <w:pPr>
        <w:pStyle w:val="ParaPlain"/>
        <w:spacing w:before="480"/>
      </w:pPr>
      <w:r w:rsidRPr="00884669">
        <w:t>To the appropriate representative of management or those charged with governance of ABC Company:</w:t>
      </w:r>
      <w:r w:rsidR="00796F9D">
        <w:rPr>
          <w:rStyle w:val="FootnoteReference"/>
        </w:rPr>
        <w:footnoteReference w:id="1"/>
      </w:r>
      <w:r w:rsidRPr="00884669">
        <w:t xml:space="preserve"> </w:t>
      </w:r>
    </w:p>
    <w:p w14:paraId="368EDEC4" w14:textId="77777777" w:rsidR="00884669" w:rsidRPr="00884669" w:rsidRDefault="006F6EF4" w:rsidP="006F6EF4">
      <w:pPr>
        <w:pStyle w:val="Heading7"/>
      </w:pPr>
      <w:r w:rsidRPr="006F6EF4">
        <w:rPr>
          <w:i w:val="0"/>
        </w:rPr>
        <w:t>[</w:t>
      </w:r>
      <w:r w:rsidR="00884669" w:rsidRPr="00884669">
        <w:t>The objective and scope of the review</w:t>
      </w:r>
      <w:r w:rsidR="00884669" w:rsidRPr="006F6EF4">
        <w:rPr>
          <w:i w:val="0"/>
        </w:rPr>
        <w:t>]</w:t>
      </w:r>
      <w:r w:rsidR="00884669" w:rsidRPr="00884669">
        <w:t xml:space="preserve"> </w:t>
      </w:r>
    </w:p>
    <w:p w14:paraId="2204E5CA" w14:textId="77777777" w:rsidR="00884669" w:rsidRPr="00884669" w:rsidRDefault="00884669" w:rsidP="006F6EF4">
      <w:pPr>
        <w:pStyle w:val="ParaPlain"/>
      </w:pPr>
      <w:r w:rsidRPr="00884669">
        <w:t>You</w:t>
      </w:r>
      <w:r w:rsidR="00796F9D">
        <w:rPr>
          <w:rStyle w:val="FootnoteReference"/>
        </w:rPr>
        <w:footnoteReference w:id="2"/>
      </w:r>
      <w:r w:rsidRPr="00884669">
        <w:t xml:space="preserve"> have requested that we review the </w:t>
      </w:r>
      <w:proofErr w:type="gramStart"/>
      <w:r w:rsidRPr="00884669">
        <w:t>general purpose</w:t>
      </w:r>
      <w:proofErr w:type="gramEnd"/>
      <w:r w:rsidRPr="00884669">
        <w:t xml:space="preserve"> financial statements of ABC Company, which comprise the statement of financial position as at December 31, 20X1, and the statement of comprehensive income, statement of changes in equity and cash flow statement for the year then ended, and a summary of significant accounting policies and other explanatory information.</w:t>
      </w:r>
      <w:r w:rsidR="007B0D3D">
        <w:t xml:space="preserve"> </w:t>
      </w:r>
      <w:r w:rsidRPr="00884669">
        <w:t xml:space="preserve"> We are pleased to confirm our acceptance and our understanding of this review engagement by means of this letter. </w:t>
      </w:r>
    </w:p>
    <w:p w14:paraId="30F02F08" w14:textId="77777777" w:rsidR="00884669" w:rsidRPr="00884669" w:rsidRDefault="00884669" w:rsidP="006F6EF4">
      <w:pPr>
        <w:pStyle w:val="ParaPlain"/>
      </w:pPr>
      <w:r w:rsidRPr="00884669">
        <w:t xml:space="preserve">Our review will be conducted with the objective of expressing our conclusion on the financial statements. </w:t>
      </w:r>
      <w:r w:rsidR="007B0D3D">
        <w:t xml:space="preserve"> </w:t>
      </w:r>
      <w:r w:rsidRPr="00884669">
        <w:t>Our conclusion, if unmodified, will be in the form “Based on our review, nothing has come to our attention that causes us to believe that these financial statements do not present fairly, in all material respects, (</w:t>
      </w:r>
      <w:r w:rsidRPr="00884669">
        <w:rPr>
          <w:i/>
          <w:iCs/>
        </w:rPr>
        <w:t>or do not give a true and fair view of</w:t>
      </w:r>
      <w:r w:rsidRPr="00884669">
        <w:t xml:space="preserve">) the financial position of the company as at [date] and </w:t>
      </w:r>
      <w:r w:rsidRPr="00884669">
        <w:rPr>
          <w:i/>
          <w:iCs/>
        </w:rPr>
        <w:t xml:space="preserve">(of) </w:t>
      </w:r>
      <w:r w:rsidRPr="00884669">
        <w:t>its financial performance and cash flows for the year</w:t>
      </w:r>
      <w:r w:rsidR="00333002">
        <w:t xml:space="preserve"> then ended in accordance with </w:t>
      </w:r>
      <w:r w:rsidR="00DF1333">
        <w:t>Australian Accounting</w:t>
      </w:r>
      <w:r w:rsidRPr="00884669">
        <w:t xml:space="preserve"> Standards.” </w:t>
      </w:r>
    </w:p>
    <w:p w14:paraId="094905AD" w14:textId="77777777" w:rsidR="00884669" w:rsidRPr="00884669" w:rsidRDefault="00884669" w:rsidP="006F6EF4">
      <w:pPr>
        <w:pStyle w:val="Heading7"/>
      </w:pPr>
      <w:r w:rsidRPr="006F6EF4">
        <w:rPr>
          <w:i w:val="0"/>
        </w:rPr>
        <w:t>[</w:t>
      </w:r>
      <w:r w:rsidRPr="00884669">
        <w:t xml:space="preserve">The </w:t>
      </w:r>
      <w:r w:rsidR="00C35FB0">
        <w:t>assurance practitioner</w:t>
      </w:r>
      <w:r w:rsidRPr="00884669">
        <w:t>’s responsibilities</w:t>
      </w:r>
      <w:r w:rsidRPr="006F6EF4">
        <w:rPr>
          <w:i w:val="0"/>
        </w:rPr>
        <w:t>]</w:t>
      </w:r>
      <w:r w:rsidRPr="00884669">
        <w:t xml:space="preserve"> </w:t>
      </w:r>
    </w:p>
    <w:p w14:paraId="516B6110" w14:textId="77777777" w:rsidR="00884669" w:rsidRPr="00884669" w:rsidRDefault="00884669" w:rsidP="006F6EF4">
      <w:pPr>
        <w:pStyle w:val="ParaPlain"/>
      </w:pPr>
      <w:r w:rsidRPr="00884669">
        <w:t xml:space="preserve">We will conduct our review in accordance with  Standard on Review Engagements </w:t>
      </w:r>
      <w:r w:rsidR="006A62E2">
        <w:t>ASRE</w:t>
      </w:r>
      <w:r w:rsidRPr="00884669">
        <w:t xml:space="preserve"> 2400, </w:t>
      </w:r>
      <w:r w:rsidR="00DF1333" w:rsidRPr="00DF1333">
        <w:rPr>
          <w:i/>
        </w:rPr>
        <w:t>Review of</w:t>
      </w:r>
      <w:r w:rsidR="00DF1333">
        <w:rPr>
          <w:i/>
        </w:rPr>
        <w:t xml:space="preserve"> a Financial Report Performed by an Assurance Practitioner Who is Not the Auditor of the Entity</w:t>
      </w:r>
      <w:r w:rsidRPr="00884669">
        <w:t xml:space="preserve">. </w:t>
      </w:r>
      <w:r w:rsidR="00EE73FC">
        <w:t xml:space="preserve"> </w:t>
      </w:r>
      <w:r w:rsidR="00582B2A">
        <w:t>ASRE </w:t>
      </w:r>
      <w:r w:rsidR="00582B2A" w:rsidRPr="00884669">
        <w:t>2</w:t>
      </w:r>
      <w:r w:rsidRPr="00884669">
        <w:t xml:space="preserve">400 requires us to conclude whether anything has come to our attention that causes us to believe that the financial statements, taken as a whole, are not prepared in all material respects in accordance with the applicable financial reporting framework. </w:t>
      </w:r>
      <w:r w:rsidR="00FC1B50">
        <w:t xml:space="preserve"> </w:t>
      </w:r>
      <w:r w:rsidR="00582B2A">
        <w:t>ASRE </w:t>
      </w:r>
      <w:r w:rsidR="00582B2A" w:rsidRPr="00884669">
        <w:t>2</w:t>
      </w:r>
      <w:r w:rsidRPr="00884669">
        <w:t xml:space="preserve">400 also requires us to comply with relevant ethical requirements. </w:t>
      </w:r>
    </w:p>
    <w:p w14:paraId="1F778AE4" w14:textId="77777777" w:rsidR="00884669" w:rsidRPr="00884669" w:rsidRDefault="00884669" w:rsidP="006F6EF4">
      <w:pPr>
        <w:pStyle w:val="ParaPlain"/>
      </w:pPr>
      <w:r w:rsidRPr="00884669">
        <w:t xml:space="preserve">A review of financial statements in accordance with </w:t>
      </w:r>
      <w:r w:rsidR="00582B2A">
        <w:t>ASRE </w:t>
      </w:r>
      <w:r w:rsidR="00582B2A" w:rsidRPr="00884669">
        <w:t>2</w:t>
      </w:r>
      <w:r w:rsidRPr="00884669">
        <w:t>400 is a limited assurance engagement.</w:t>
      </w:r>
      <w:r w:rsidR="00FC1B50">
        <w:t xml:space="preserve"> </w:t>
      </w:r>
      <w:r w:rsidRPr="00884669">
        <w:t xml:space="preserve"> We will perform procedures, primarily consisting of making </w:t>
      </w:r>
      <w:r w:rsidR="00614675">
        <w:t>enquiries</w:t>
      </w:r>
      <w:r w:rsidRPr="00884669">
        <w:t xml:space="preserve"> of management and others within the entity, as appropriate, and applying analytical procedures, and evaluate the evidence obtained. </w:t>
      </w:r>
      <w:r w:rsidR="00FC1B50">
        <w:t xml:space="preserve"> </w:t>
      </w:r>
      <w:r w:rsidRPr="00884669">
        <w:t xml:space="preserve">We will also perform additional procedures if we become aware of matters that cause us to believe the financial statements as a whole may be materially misstated. </w:t>
      </w:r>
      <w:r w:rsidR="00FC1B50">
        <w:t xml:space="preserve"> </w:t>
      </w:r>
      <w:r w:rsidRPr="00884669">
        <w:t xml:space="preserve">These procedures are performed to enable us to express our conclusion on the financial statements in accordance with </w:t>
      </w:r>
      <w:r w:rsidR="00582B2A">
        <w:t>ASRE </w:t>
      </w:r>
      <w:r w:rsidR="00582B2A" w:rsidRPr="00884669">
        <w:t>2</w:t>
      </w:r>
      <w:r w:rsidRPr="00884669">
        <w:t xml:space="preserve">400. </w:t>
      </w:r>
      <w:r w:rsidR="00FC1B50">
        <w:t xml:space="preserve"> </w:t>
      </w:r>
      <w:r w:rsidRPr="00884669">
        <w:t xml:space="preserve">The procedures selected will depend on what we consider necessary applying our </w:t>
      </w:r>
      <w:r w:rsidRPr="00884669">
        <w:lastRenderedPageBreak/>
        <w:t xml:space="preserve">professional </w:t>
      </w:r>
      <w:r w:rsidR="00614675">
        <w:t>judgement</w:t>
      </w:r>
      <w:r w:rsidRPr="00884669">
        <w:t>, based on our understanding of ABC</w:t>
      </w:r>
      <w:r w:rsidR="00781DD7">
        <w:t> </w:t>
      </w:r>
      <w:r w:rsidRPr="00884669">
        <w:t xml:space="preserve">Company and its environment, and our understanding of IFRSs and its application in the industry context. </w:t>
      </w:r>
    </w:p>
    <w:p w14:paraId="48180BC5" w14:textId="77777777" w:rsidR="00884669" w:rsidRPr="00884669" w:rsidRDefault="00884669" w:rsidP="006F6EF4">
      <w:pPr>
        <w:pStyle w:val="ParaPlain"/>
      </w:pPr>
      <w:r w:rsidRPr="00884669">
        <w:t xml:space="preserve">A review is not an audit of the financial statements, therefore: </w:t>
      </w:r>
    </w:p>
    <w:p w14:paraId="5D884E38" w14:textId="77777777" w:rsidR="00884669" w:rsidRPr="00884669" w:rsidRDefault="00884669" w:rsidP="00536BB1">
      <w:pPr>
        <w:pStyle w:val="ParaLevel2"/>
        <w:numPr>
          <w:ilvl w:val="1"/>
          <w:numId w:val="51"/>
        </w:numPr>
        <w:tabs>
          <w:tab w:val="clear" w:pos="1560"/>
          <w:tab w:val="num" w:pos="709"/>
        </w:tabs>
        <w:ind w:left="709"/>
      </w:pPr>
      <w:r w:rsidRPr="00884669">
        <w:t xml:space="preserve">There is a commensurate higher risk than there would be in an audit, that any material misstatements that exist in the financial statements reviewed may not be revealed by the review, even though the review is properly performed in accordance with </w:t>
      </w:r>
      <w:r w:rsidR="00582B2A">
        <w:t>ASRE </w:t>
      </w:r>
      <w:r w:rsidR="00582B2A" w:rsidRPr="00884669">
        <w:t>2</w:t>
      </w:r>
      <w:r w:rsidR="00920509">
        <w:t>400</w:t>
      </w:r>
      <w:r w:rsidRPr="00884669">
        <w:t>.</w:t>
      </w:r>
    </w:p>
    <w:p w14:paraId="512DA963" w14:textId="77777777" w:rsidR="00884669" w:rsidRPr="00884669" w:rsidRDefault="00884669" w:rsidP="00A86F40">
      <w:pPr>
        <w:pStyle w:val="ParaLevel2"/>
        <w:numPr>
          <w:ilvl w:val="1"/>
          <w:numId w:val="51"/>
        </w:numPr>
        <w:tabs>
          <w:tab w:val="clear" w:pos="1560"/>
          <w:tab w:val="num" w:pos="709"/>
        </w:tabs>
        <w:ind w:left="709"/>
      </w:pPr>
      <w:r w:rsidRPr="00884669">
        <w:t xml:space="preserve">In expressing our conclusion from the review of the financial statements, our report on the financial statements will expressly disclaim any audit opinion on the financial statements. </w:t>
      </w:r>
    </w:p>
    <w:p w14:paraId="5FC81C25" w14:textId="77777777" w:rsidR="00884669" w:rsidRPr="00884669" w:rsidRDefault="00884669" w:rsidP="00D724D3">
      <w:pPr>
        <w:pStyle w:val="ParaPlain"/>
      </w:pPr>
      <w:r w:rsidRPr="00D724D3">
        <w:t>[</w:t>
      </w:r>
      <w:r w:rsidRPr="00D724D3">
        <w:rPr>
          <w:i/>
        </w:rPr>
        <w:t xml:space="preserve">The responsibilities of management and identification of the applicable financial reporting framework (for purposes of this example, it is assumed that the </w:t>
      </w:r>
      <w:r w:rsidR="00C35FB0">
        <w:rPr>
          <w:i/>
        </w:rPr>
        <w:t>assurance practitioner</w:t>
      </w:r>
      <w:r w:rsidRPr="00D724D3">
        <w:rPr>
          <w:i/>
        </w:rPr>
        <w:t xml:space="preserve"> has not determined that the law or regulation prescribes those responsibilities in appropriate terms; the descriptions in </w:t>
      </w:r>
      <w:r w:rsidR="00582B2A" w:rsidRPr="00D724D3">
        <w:rPr>
          <w:i/>
        </w:rPr>
        <w:t>paragraph</w:t>
      </w:r>
      <w:r w:rsidR="00582B2A">
        <w:rPr>
          <w:i/>
        </w:rPr>
        <w:t> </w:t>
      </w:r>
      <w:r w:rsidR="00582B2A" w:rsidRPr="00D724D3">
        <w:rPr>
          <w:i/>
        </w:rPr>
        <w:t>3</w:t>
      </w:r>
      <w:r w:rsidRPr="00D724D3">
        <w:rPr>
          <w:i/>
        </w:rPr>
        <w:t xml:space="preserve">0(b) of this </w:t>
      </w:r>
      <w:r w:rsidR="006A62E2" w:rsidRPr="00D724D3">
        <w:rPr>
          <w:i/>
        </w:rPr>
        <w:t>ASRE</w:t>
      </w:r>
      <w:r w:rsidRPr="00D724D3">
        <w:rPr>
          <w:i/>
        </w:rPr>
        <w:t xml:space="preserve"> are therefore used).</w:t>
      </w:r>
      <w:r w:rsidRPr="00D724D3">
        <w:t xml:space="preserve">] </w:t>
      </w:r>
    </w:p>
    <w:p w14:paraId="1AECA7D6" w14:textId="77777777" w:rsidR="00884669" w:rsidRPr="00884669" w:rsidRDefault="00884669" w:rsidP="006F6EF4">
      <w:pPr>
        <w:pStyle w:val="ParaPlain"/>
      </w:pPr>
      <w:r w:rsidRPr="00884669">
        <w:t>Our review will be conducted on the basis that [management and, where appropriate, those charged with governance]</w:t>
      </w:r>
      <w:r w:rsidR="00796F9D">
        <w:rPr>
          <w:rStyle w:val="FootnoteReference"/>
        </w:rPr>
        <w:footnoteReference w:id="3"/>
      </w:r>
      <w:r w:rsidRPr="00884669">
        <w:t xml:space="preserve"> acknowledge and understand that they have the responsibility: </w:t>
      </w:r>
    </w:p>
    <w:p w14:paraId="03EF81E8" w14:textId="77777777" w:rsidR="00884669" w:rsidRPr="00884669" w:rsidRDefault="00884669" w:rsidP="00536BB1">
      <w:pPr>
        <w:pStyle w:val="ParaLevel2"/>
        <w:numPr>
          <w:ilvl w:val="1"/>
          <w:numId w:val="53"/>
        </w:numPr>
        <w:tabs>
          <w:tab w:val="clear" w:pos="1560"/>
        </w:tabs>
        <w:ind w:left="709"/>
      </w:pPr>
      <w:r w:rsidRPr="00884669">
        <w:t xml:space="preserve">For preparation and fair presentation of the financial statements in accordance with </w:t>
      </w:r>
      <w:r w:rsidR="00A00B52">
        <w:t>Australian Accounting Standards</w:t>
      </w:r>
      <w:r w:rsidRPr="00884669">
        <w:t>;</w:t>
      </w:r>
      <w:r w:rsidR="00796F9D">
        <w:rPr>
          <w:rStyle w:val="FootnoteReference"/>
        </w:rPr>
        <w:footnoteReference w:id="4"/>
      </w:r>
      <w:r w:rsidRPr="00884669">
        <w:t xml:space="preserve"> </w:t>
      </w:r>
    </w:p>
    <w:p w14:paraId="1657477F" w14:textId="77777777" w:rsidR="00884669" w:rsidRPr="00884669" w:rsidRDefault="00884669" w:rsidP="00536BB1">
      <w:pPr>
        <w:pStyle w:val="ParaLevel2"/>
        <w:tabs>
          <w:tab w:val="clear" w:pos="1560"/>
        </w:tabs>
        <w:ind w:left="709"/>
      </w:pPr>
      <w:r w:rsidRPr="00884669">
        <w:t xml:space="preserve">For such internal control as management determines is necessary to enable the preparation of financial statements that are free from material misstatement, whether due to fraud or error; and </w:t>
      </w:r>
    </w:p>
    <w:p w14:paraId="2D5E9F0A" w14:textId="77777777" w:rsidR="00884669" w:rsidRPr="00884669" w:rsidRDefault="00884669" w:rsidP="00536BB1">
      <w:pPr>
        <w:pStyle w:val="ParaLevel2"/>
        <w:tabs>
          <w:tab w:val="clear" w:pos="1560"/>
        </w:tabs>
        <w:ind w:left="709"/>
      </w:pPr>
      <w:r w:rsidRPr="00884669">
        <w:t xml:space="preserve">To provide us with: </w:t>
      </w:r>
    </w:p>
    <w:p w14:paraId="22081C8D" w14:textId="77777777" w:rsidR="00884669" w:rsidRPr="00884669" w:rsidRDefault="00884669" w:rsidP="00536BB1">
      <w:pPr>
        <w:pStyle w:val="ParaLevel3"/>
        <w:tabs>
          <w:tab w:val="clear" w:pos="2127"/>
          <w:tab w:val="num" w:pos="1418"/>
        </w:tabs>
        <w:ind w:left="1418"/>
      </w:pPr>
      <w:r w:rsidRPr="00884669">
        <w:t xml:space="preserve">Access to all information of which management is aware that is relevant to the preparation and fair presentation of the financial statements, such as records, </w:t>
      </w:r>
      <w:proofErr w:type="gramStart"/>
      <w:r w:rsidRPr="00884669">
        <w:t>documentation</w:t>
      </w:r>
      <w:proofErr w:type="gramEnd"/>
      <w:r w:rsidRPr="00884669">
        <w:t xml:space="preserve"> and other matters; </w:t>
      </w:r>
    </w:p>
    <w:p w14:paraId="2C3BFF80" w14:textId="77777777" w:rsidR="00884669" w:rsidRPr="00884669" w:rsidRDefault="00884669" w:rsidP="00536BB1">
      <w:pPr>
        <w:pStyle w:val="ParaLevel3"/>
        <w:tabs>
          <w:tab w:val="clear" w:pos="2127"/>
          <w:tab w:val="num" w:pos="1418"/>
        </w:tabs>
        <w:ind w:left="1418"/>
      </w:pPr>
      <w:r w:rsidRPr="00884669">
        <w:t xml:space="preserve">Additional information that we may request from management for the purpose of the review; and </w:t>
      </w:r>
    </w:p>
    <w:p w14:paraId="14C5A6C5" w14:textId="77777777" w:rsidR="00884669" w:rsidRPr="00884669" w:rsidRDefault="00884669" w:rsidP="00536BB1">
      <w:pPr>
        <w:pStyle w:val="ParaLevel3"/>
        <w:tabs>
          <w:tab w:val="clear" w:pos="2127"/>
          <w:tab w:val="num" w:pos="1418"/>
        </w:tabs>
        <w:ind w:left="1418"/>
      </w:pPr>
      <w:r w:rsidRPr="00884669">
        <w:t xml:space="preserve">Unrestricted access to persons within ABC Company from whom we determine it necessary to obtain evidence. </w:t>
      </w:r>
    </w:p>
    <w:p w14:paraId="7D9BA22A" w14:textId="77777777" w:rsidR="00884669" w:rsidRPr="00884669" w:rsidRDefault="00884669" w:rsidP="002E3852">
      <w:pPr>
        <w:pStyle w:val="ParaPlain"/>
      </w:pPr>
      <w:r w:rsidRPr="00884669">
        <w:t xml:space="preserve">As part of our review, we will request from [management and, where appropriate, those charged with governance], written confirmation concerning representations made to us in connection with the review. </w:t>
      </w:r>
    </w:p>
    <w:p w14:paraId="56A913DA" w14:textId="77777777" w:rsidR="000768CA" w:rsidRDefault="00884669" w:rsidP="000768CA">
      <w:pPr>
        <w:pStyle w:val="ParaPlain"/>
      </w:pPr>
      <w:r w:rsidRPr="00884669">
        <w:t xml:space="preserve">We look forward to full cooperation from your staff during our review. </w:t>
      </w:r>
    </w:p>
    <w:p w14:paraId="2F6B6FEF" w14:textId="77777777" w:rsidR="00884669" w:rsidRPr="000768CA" w:rsidRDefault="000768CA" w:rsidP="000768CA">
      <w:pPr>
        <w:pStyle w:val="Heading7"/>
      </w:pPr>
      <w:r w:rsidRPr="00D724D3">
        <w:rPr>
          <w:i w:val="0"/>
        </w:rPr>
        <w:t>[</w:t>
      </w:r>
      <w:r w:rsidR="00884669" w:rsidRPr="000768CA">
        <w:t>Other relevant information</w:t>
      </w:r>
      <w:r w:rsidRPr="00D724D3">
        <w:rPr>
          <w:i w:val="0"/>
        </w:rPr>
        <w:t>]</w:t>
      </w:r>
    </w:p>
    <w:p w14:paraId="47B1E037" w14:textId="77777777" w:rsidR="002E3852" w:rsidRPr="000768CA" w:rsidRDefault="00884669" w:rsidP="000768CA">
      <w:pPr>
        <w:pStyle w:val="ParaPlain"/>
        <w:rPr>
          <w:i/>
        </w:rPr>
      </w:pPr>
      <w:r w:rsidRPr="00D724D3">
        <w:t>[</w:t>
      </w:r>
      <w:r w:rsidRPr="000768CA">
        <w:rPr>
          <w:i/>
        </w:rPr>
        <w:t xml:space="preserve">Insert other information, such as fee arrangements, </w:t>
      </w:r>
      <w:proofErr w:type="gramStart"/>
      <w:r w:rsidRPr="000768CA">
        <w:rPr>
          <w:i/>
        </w:rPr>
        <w:t>billings</w:t>
      </w:r>
      <w:proofErr w:type="gramEnd"/>
      <w:r w:rsidRPr="000768CA">
        <w:rPr>
          <w:i/>
        </w:rPr>
        <w:t xml:space="preserve"> and other specific terms, as appropriate.</w:t>
      </w:r>
      <w:r w:rsidRPr="00D724D3">
        <w:rPr>
          <w:sz w:val="24"/>
        </w:rPr>
        <w:t>]</w:t>
      </w:r>
      <w:r w:rsidRPr="000768CA">
        <w:rPr>
          <w:i/>
        </w:rPr>
        <w:t xml:space="preserve"> </w:t>
      </w:r>
    </w:p>
    <w:p w14:paraId="0DF38742" w14:textId="77777777" w:rsidR="00884669" w:rsidRPr="000768CA" w:rsidRDefault="00884669" w:rsidP="000768CA">
      <w:pPr>
        <w:pStyle w:val="Heading7"/>
      </w:pPr>
      <w:r w:rsidRPr="00D724D3">
        <w:rPr>
          <w:i w:val="0"/>
        </w:rPr>
        <w:t>[</w:t>
      </w:r>
      <w:r w:rsidRPr="000768CA">
        <w:t>Reporting</w:t>
      </w:r>
      <w:r w:rsidRPr="00D724D3">
        <w:rPr>
          <w:i w:val="0"/>
        </w:rPr>
        <w:t>]</w:t>
      </w:r>
      <w:r w:rsidRPr="000768CA">
        <w:t xml:space="preserve"> </w:t>
      </w:r>
    </w:p>
    <w:p w14:paraId="5298AA52" w14:textId="77777777" w:rsidR="00884669" w:rsidRPr="000768CA" w:rsidRDefault="00884669" w:rsidP="000768CA">
      <w:pPr>
        <w:pStyle w:val="ParaPlain"/>
        <w:rPr>
          <w:i/>
        </w:rPr>
      </w:pPr>
      <w:r w:rsidRPr="00D724D3">
        <w:t>[</w:t>
      </w:r>
      <w:r w:rsidRPr="000768CA">
        <w:rPr>
          <w:i/>
        </w:rPr>
        <w:t xml:space="preserve">Insert appropriate reference to the expected form and content of the </w:t>
      </w:r>
      <w:r w:rsidR="00C35FB0">
        <w:rPr>
          <w:i/>
        </w:rPr>
        <w:t>assurance practitioner</w:t>
      </w:r>
      <w:r w:rsidRPr="000768CA">
        <w:rPr>
          <w:i/>
        </w:rPr>
        <w:t>’s report.</w:t>
      </w:r>
      <w:r w:rsidRPr="00D724D3">
        <w:t>]</w:t>
      </w:r>
      <w:r w:rsidRPr="000768CA">
        <w:rPr>
          <w:i/>
        </w:rPr>
        <w:t xml:space="preserve"> </w:t>
      </w:r>
    </w:p>
    <w:p w14:paraId="45CAE03C" w14:textId="77777777" w:rsidR="00884669" w:rsidRPr="00884669" w:rsidRDefault="00884669" w:rsidP="002E3852">
      <w:pPr>
        <w:pStyle w:val="ParaPlain"/>
      </w:pPr>
      <w:r w:rsidRPr="00884669">
        <w:t xml:space="preserve">The form and content of our report may need to be amended in the light of our findings obtained from the review. </w:t>
      </w:r>
    </w:p>
    <w:p w14:paraId="13092C7A" w14:textId="77777777" w:rsidR="00884669" w:rsidRPr="00884669" w:rsidRDefault="00884669" w:rsidP="002E3852">
      <w:pPr>
        <w:pStyle w:val="ParaPlain"/>
      </w:pPr>
      <w:r w:rsidRPr="00884669">
        <w:lastRenderedPageBreak/>
        <w:t xml:space="preserve">Please sign and return the attached copy of this letter to indicate your acknowledgement of, and agreement with, the arrangements for our review of the financial statements including our respective responsibilities. </w:t>
      </w:r>
    </w:p>
    <w:p w14:paraId="61FBED28" w14:textId="77777777" w:rsidR="00884669" w:rsidRPr="00884669" w:rsidRDefault="00884669" w:rsidP="002E3852">
      <w:pPr>
        <w:pStyle w:val="ParaPlain"/>
      </w:pPr>
      <w:r w:rsidRPr="00884669">
        <w:t xml:space="preserve">XYZ &amp; Co. </w:t>
      </w:r>
    </w:p>
    <w:p w14:paraId="18C5F126" w14:textId="77777777" w:rsidR="00884669" w:rsidRPr="00884669" w:rsidRDefault="00884669" w:rsidP="002E3852">
      <w:pPr>
        <w:pStyle w:val="ParaPlain"/>
      </w:pPr>
      <w:r w:rsidRPr="00884669">
        <w:t xml:space="preserve">Acknowledged and agreed on behalf of ABC Company by </w:t>
      </w:r>
    </w:p>
    <w:p w14:paraId="7CC0FB91" w14:textId="77777777" w:rsidR="00884669" w:rsidRPr="00884669" w:rsidRDefault="00884669" w:rsidP="003D549C">
      <w:pPr>
        <w:pStyle w:val="ParaPlain"/>
      </w:pPr>
      <w:r w:rsidRPr="00884669">
        <w:t xml:space="preserve">(signed) </w:t>
      </w:r>
    </w:p>
    <w:p w14:paraId="127FF5CB" w14:textId="77777777" w:rsidR="00884669" w:rsidRPr="00884669" w:rsidRDefault="00884669" w:rsidP="003D549C">
      <w:pPr>
        <w:pStyle w:val="ParaPlain"/>
      </w:pPr>
      <w:r w:rsidRPr="00884669">
        <w:t xml:space="preserve">...................... </w:t>
      </w:r>
    </w:p>
    <w:p w14:paraId="520539FF" w14:textId="77777777" w:rsidR="00884669" w:rsidRPr="00884669" w:rsidRDefault="00884669" w:rsidP="003D549C">
      <w:pPr>
        <w:pStyle w:val="ParaPlain"/>
      </w:pPr>
      <w:r w:rsidRPr="00884669">
        <w:t xml:space="preserve">Name and Title </w:t>
      </w:r>
    </w:p>
    <w:p w14:paraId="3DECF0AF" w14:textId="39B16BD1" w:rsidR="00B276D6" w:rsidRDefault="00884669" w:rsidP="00E55FFC">
      <w:pPr>
        <w:pStyle w:val="ParaPlain"/>
      </w:pPr>
      <w:r w:rsidRPr="00884669">
        <w:t>Date</w:t>
      </w:r>
    </w:p>
    <w:p w14:paraId="66820212" w14:textId="249661E1" w:rsidR="00E55FFC" w:rsidRPr="00E55FFC" w:rsidRDefault="00E55FFC" w:rsidP="00E55FFC"/>
    <w:p w14:paraId="3835B973" w14:textId="001839E9" w:rsidR="00E55FFC" w:rsidRPr="00E55FFC" w:rsidRDefault="00E55FFC" w:rsidP="00E55FFC"/>
    <w:p w14:paraId="3C725DE9" w14:textId="0A898B51" w:rsidR="00E55FFC" w:rsidRDefault="00E55FFC" w:rsidP="00E55FFC"/>
    <w:p w14:paraId="59B2511B" w14:textId="28DE58DE" w:rsidR="00E55FFC" w:rsidRPr="00E55FFC" w:rsidRDefault="00E55FFC" w:rsidP="00E55FFC">
      <w:pPr>
        <w:tabs>
          <w:tab w:val="left" w:pos="6463"/>
        </w:tabs>
      </w:pPr>
      <w:r>
        <w:tab/>
      </w:r>
    </w:p>
    <w:sectPr w:rsidR="00E55FFC" w:rsidRPr="00E55FFC" w:rsidSect="002D7E51">
      <w:headerReference w:type="default" r:id="rId11"/>
      <w:footerReference w:type="default" r:id="rId12"/>
      <w:headerReference w:type="first" r:id="rId13"/>
      <w:footerReference w:type="first" r:id="rId14"/>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D37E" w14:textId="77777777" w:rsidR="009F626B" w:rsidRDefault="009F626B">
      <w:r>
        <w:separator/>
      </w:r>
    </w:p>
  </w:endnote>
  <w:endnote w:type="continuationSeparator" w:id="0">
    <w:p w14:paraId="716449B9" w14:textId="77777777" w:rsidR="009F626B" w:rsidRDefault="009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00CA" w14:textId="77777777" w:rsidR="009F626B" w:rsidRDefault="00E55FFC" w:rsidP="004749AE">
    <w:pPr>
      <w:pStyle w:val="Footer"/>
      <w:spacing w:before="200"/>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8254E6">
      <w:rPr>
        <w:rStyle w:val="PageNumber"/>
        <w:b w:val="0"/>
        <w:bCs/>
        <w:noProof/>
      </w:rPr>
      <w:t>61</w:t>
    </w:r>
    <w:r w:rsidR="009F626B">
      <w:rPr>
        <w:rStyle w:val="PageNumber"/>
        <w:b w:val="0"/>
        <w:bCs/>
      </w:rPr>
      <w:fldChar w:fldCharType="end"/>
    </w:r>
    <w:r w:rsidR="009F626B">
      <w:rPr>
        <w:rStyle w:val="PageNumber"/>
        <w:b w:val="0"/>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74D7" w14:textId="77777777" w:rsidR="009F626B" w:rsidRDefault="00E55FFC" w:rsidP="00A13EDD">
    <w:pPr>
      <w:pStyle w:val="Footer"/>
      <w:spacing w:before="200"/>
      <w:rPr>
        <w:rStyle w:val="PageNumber"/>
      </w:rPr>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9F626B">
      <w:rPr>
        <w:rStyle w:val="PageNumber"/>
        <w:b w:val="0"/>
        <w:bCs/>
        <w:noProof/>
      </w:rPr>
      <w:t>76</w:t>
    </w:r>
    <w:r w:rsidR="009F626B">
      <w:rPr>
        <w:rStyle w:val="PageNumber"/>
        <w:b w:val="0"/>
        <w:bCs/>
      </w:rPr>
      <w:fldChar w:fldCharType="end"/>
    </w:r>
    <w:r w:rsidR="009F626B">
      <w:rPr>
        <w:rStyle w:val="PageNumber"/>
        <w:b w:val="0"/>
        <w:bCs/>
      </w:rPr>
      <w:t xml:space="preserve"> -</w:t>
    </w:r>
    <w:r w:rsidR="009F626B">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8EEC" w14:textId="77777777" w:rsidR="009F626B" w:rsidRDefault="009F626B" w:rsidP="00F8727A">
      <w:pPr>
        <w:spacing w:before="240"/>
      </w:pPr>
      <w:r>
        <w:separator/>
      </w:r>
    </w:p>
  </w:footnote>
  <w:footnote w:type="continuationSeparator" w:id="0">
    <w:p w14:paraId="73FDD4A8" w14:textId="77777777" w:rsidR="009F626B" w:rsidRDefault="009F626B" w:rsidP="00F8727A">
      <w:pPr>
        <w:spacing w:before="240"/>
      </w:pPr>
      <w:r>
        <w:continuationSeparator/>
      </w:r>
    </w:p>
  </w:footnote>
  <w:footnote w:id="1">
    <w:p w14:paraId="33B45547" w14:textId="77777777" w:rsidR="009F626B" w:rsidRPr="00796F9D" w:rsidRDefault="009F626B">
      <w:pPr>
        <w:pStyle w:val="FootnoteText"/>
      </w:pPr>
      <w:r w:rsidRPr="00796F9D">
        <w:rPr>
          <w:rStyle w:val="FootnoteReference"/>
          <w:sz w:val="16"/>
        </w:rPr>
        <w:footnoteRef/>
      </w:r>
      <w:r w:rsidRPr="00796F9D">
        <w:t xml:space="preserve"> </w:t>
      </w:r>
      <w:r>
        <w:tab/>
      </w:r>
      <w:r w:rsidRPr="00796F9D">
        <w:t>The addressees and references in the letter would be those that are appropriate in the circumstances of the engagement, including the relevant jurisdiction. It is important to refer to the appropriate persons―see paragraph</w:t>
      </w:r>
      <w:r>
        <w:t> </w:t>
      </w:r>
      <w:r w:rsidRPr="00796F9D">
        <w:t xml:space="preserve">36 of this </w:t>
      </w:r>
      <w:r>
        <w:t>ASRE</w:t>
      </w:r>
      <w:r w:rsidRPr="00796F9D">
        <w:t xml:space="preserve">.  </w:t>
      </w:r>
    </w:p>
  </w:footnote>
  <w:footnote w:id="2">
    <w:p w14:paraId="2838448F" w14:textId="77777777" w:rsidR="009F626B" w:rsidRPr="00796F9D" w:rsidRDefault="009F626B">
      <w:pPr>
        <w:pStyle w:val="FootnoteText"/>
      </w:pPr>
      <w:r w:rsidRPr="00796F9D">
        <w:rPr>
          <w:rStyle w:val="FootnoteReference"/>
          <w:sz w:val="16"/>
        </w:rPr>
        <w:footnoteRef/>
      </w:r>
      <w:r w:rsidRPr="00796F9D">
        <w:t xml:space="preserve"> </w:t>
      </w:r>
      <w:r>
        <w:tab/>
      </w:r>
      <w:r w:rsidRPr="00796F9D">
        <w:t>Throughout this letter, references to “you,” “we,” “us,” “management,” “those charged with governance” and “</w:t>
      </w:r>
      <w:r>
        <w:t>assurance practitioner</w:t>
      </w:r>
      <w:r w:rsidRPr="00796F9D">
        <w:t xml:space="preserve">” would be used or amended as appropriate in the circumstances.  </w:t>
      </w:r>
    </w:p>
  </w:footnote>
  <w:footnote w:id="3">
    <w:p w14:paraId="11AAEB88" w14:textId="77777777" w:rsidR="009F626B" w:rsidRPr="00796F9D" w:rsidRDefault="009F626B">
      <w:pPr>
        <w:pStyle w:val="FootnoteText"/>
      </w:pPr>
      <w:r w:rsidRPr="00796F9D">
        <w:rPr>
          <w:rStyle w:val="FootnoteReference"/>
          <w:sz w:val="16"/>
        </w:rPr>
        <w:footnoteRef/>
      </w:r>
      <w:r w:rsidRPr="00796F9D">
        <w:t xml:space="preserve"> </w:t>
      </w:r>
      <w:r>
        <w:tab/>
      </w:r>
      <w:r w:rsidRPr="00796F9D">
        <w:t xml:space="preserve">Use terminology as appropriate in the circumstances.  </w:t>
      </w:r>
    </w:p>
  </w:footnote>
  <w:footnote w:id="4">
    <w:p w14:paraId="651A821E" w14:textId="77777777" w:rsidR="009F626B" w:rsidRPr="00796F9D" w:rsidRDefault="009F626B">
      <w:pPr>
        <w:pStyle w:val="FootnoteText"/>
      </w:pPr>
      <w:r w:rsidRPr="00796F9D">
        <w:rPr>
          <w:rStyle w:val="FootnoteReference"/>
          <w:sz w:val="16"/>
        </w:rPr>
        <w:footnoteRef/>
      </w:r>
      <w:r w:rsidRPr="00796F9D">
        <w:t xml:space="preserve"> </w:t>
      </w:r>
      <w:r>
        <w:tab/>
      </w:r>
      <w:r w:rsidRPr="00796F9D">
        <w:t xml:space="preserve">Or, if appropriate, “For the preparation of financial statements that give a true and fair view in accordance with </w:t>
      </w:r>
      <w:r>
        <w:t xml:space="preserve">Australian Accounting </w:t>
      </w:r>
      <w:proofErr w:type="gramStart"/>
      <w:r>
        <w:t>Standards</w:t>
      </w:r>
      <w:r w:rsidRPr="00796F9D">
        <w:t>”</w:t>
      </w:r>
      <w:proofErr w:type="gramEnd"/>
      <w:r w:rsidRPr="00796F9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DDF2" w14:textId="77777777" w:rsidR="009F626B" w:rsidRDefault="00E55FFC">
    <w:pPr>
      <w:pStyle w:val="Header"/>
      <w:rPr>
        <w:i/>
        <w:iCs/>
      </w:rPr>
    </w:pPr>
    <w:r>
      <w:fldChar w:fldCharType="begin" w:fldLock="1"/>
    </w:r>
    <w:r>
      <w:instrText xml:space="preserve"> REF DocTypeLong \* charformat </w:instrText>
    </w:r>
    <w:r>
      <w:fldChar w:fldCharType="separate"/>
    </w:r>
    <w:r w:rsidR="009F626B">
      <w:t>Standard on Review Engagements</w:t>
    </w:r>
    <w:r>
      <w:fldChar w:fldCharType="end"/>
    </w:r>
    <w:r w:rsidR="009F626B" w:rsidRPr="00C649F8">
      <w:t xml:space="preserve"> </w:t>
    </w:r>
    <w:r>
      <w:fldChar w:fldCharType="begin" w:fldLock="1"/>
    </w:r>
    <w:r>
      <w:instrText xml:space="preserve"> REF DocType \* charformat </w:instrText>
    </w:r>
    <w:r>
      <w:fldChar w:fldCharType="separate"/>
    </w:r>
    <w:r w:rsidR="009F626B">
      <w:t>ASRE</w:t>
    </w:r>
    <w:r>
      <w:fldChar w:fldCharType="end"/>
    </w:r>
    <w:r w:rsidR="009F626B">
      <w:t> </w:t>
    </w:r>
    <w:r>
      <w:fldChar w:fldCharType="begin" w:fldLock="1"/>
    </w:r>
    <w:r>
      <w:instrText xml:space="preserve"> REF DocNo \* charformat </w:instrText>
    </w:r>
    <w:r>
      <w:fldChar w:fldCharType="separate"/>
    </w:r>
    <w:r w:rsidR="009F626B" w:rsidRPr="00CE2FCD">
      <w:t>2400</w:t>
    </w:r>
    <w:r>
      <w:fldChar w:fldCharType="end"/>
    </w:r>
    <w:r w:rsidR="009F626B" w:rsidRPr="00C649F8">
      <w:br/>
    </w:r>
    <w:r w:rsidR="009F626B" w:rsidRPr="00C649F8">
      <w:rPr>
        <w:i/>
        <w:iCs/>
      </w:rPr>
      <w:fldChar w:fldCharType="begin" w:fldLock="1"/>
    </w:r>
    <w:r w:rsidR="009F626B" w:rsidRPr="00C649F8">
      <w:rPr>
        <w:i/>
        <w:iCs/>
      </w:rPr>
      <w:instrText xml:space="preserve"> REF DocTitle \* charformat </w:instrText>
    </w:r>
    <w:r w:rsidR="009F626B">
      <w:rPr>
        <w:i/>
        <w:iCs/>
      </w:rPr>
      <w:instrText xml:space="preserve"> \* MERGEFORMAT </w:instrText>
    </w:r>
    <w:r w:rsidR="009F626B" w:rsidRPr="00C649F8">
      <w:rPr>
        <w:i/>
        <w:iCs/>
      </w:rPr>
      <w:fldChar w:fldCharType="separate"/>
    </w:r>
    <w:r w:rsidR="009F626B" w:rsidRPr="00CE2FCD">
      <w:rPr>
        <w:i/>
        <w:iCs/>
      </w:rPr>
      <w:t xml:space="preserve">Review of a Financial Report </w:t>
    </w:r>
    <w:r w:rsidR="009F626B" w:rsidRPr="00D064F1">
      <w:rPr>
        <w:i/>
        <w:iCs/>
      </w:rPr>
      <w:t>Performed</w:t>
    </w:r>
    <w:r w:rsidR="009F626B" w:rsidRPr="00CE2FCD">
      <w:rPr>
        <w:i/>
        <w:iCs/>
      </w:rPr>
      <w:t xml:space="preserve"> by an Assurance Practitioner Who is Not the Auditor of the Entity</w:t>
    </w:r>
    <w:r w:rsidR="009F626B" w:rsidRPr="00C649F8">
      <w:fldChar w:fldCharType="end"/>
    </w:r>
  </w:p>
  <w:p w14:paraId="0F155141" w14:textId="77777777" w:rsidR="009F626B" w:rsidRDefault="009F626B" w:rsidP="00F46978">
    <w:pPr>
      <w:pStyle w:val="Header"/>
      <w:spacing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3665C" w14:textId="03BD23F1" w:rsidR="009F626B" w:rsidRDefault="00CB36A9">
    <w:pPr>
      <w:pStyle w:val="Header"/>
      <w:pBdr>
        <w:bottom w:val="none" w:sz="0" w:space="0" w:color="auto"/>
      </w:pBdr>
    </w:pPr>
    <w:r>
      <w:rPr>
        <w:noProof/>
        <w:sz w:val="20"/>
        <w:lang w:eastAsia="en-AU"/>
      </w:rPr>
      <mc:AlternateContent>
        <mc:Choice Requires="wps">
          <w:drawing>
            <wp:anchor distT="0" distB="0" distL="114300" distR="114300" simplePos="0" relativeHeight="251749376" behindDoc="1" locked="1" layoutInCell="1" allowOverlap="1" wp14:anchorId="04812CAE" wp14:editId="56DD52C5">
              <wp:simplePos x="0" y="0"/>
              <wp:positionH relativeFrom="page">
                <wp:posOffset>1800225</wp:posOffset>
              </wp:positionH>
              <wp:positionV relativeFrom="page">
                <wp:posOffset>2880360</wp:posOffset>
              </wp:positionV>
              <wp:extent cx="3959860" cy="3261360"/>
              <wp:effectExtent l="0" t="0" r="2540" b="0"/>
              <wp:wrapNone/>
              <wp:docPr id="4" name="WordArt 60"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812CAE" id="_x0000_t202" coordsize="21600,21600" o:spt="202" path="m,l,21600r21600,l21600,xe">
              <v:stroke joinstyle="miter"/>
              <v:path gradientshapeok="t" o:connecttype="rect"/>
            </v:shapetype>
            <v:shape id="WordArt 60" o:spid="_x0000_s1026" type="#_x0000_t202" alt="Confidential watermark" style="position:absolute;margin-left:141.75pt;margin-top:226.8pt;width:311.8pt;height:256.8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" filled="f" stroked="f">
              <v:stroke joinstyle="round"/>
              <o:lock v:ext="edit" shapetype="t"/>
              <v:textbox style="mso-fit-shape-to-text:t">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35040" behindDoc="1" locked="1" layoutInCell="1" allowOverlap="1" wp14:anchorId="6A9BB19A" wp14:editId="1F99EA2C">
              <wp:simplePos x="0" y="0"/>
              <wp:positionH relativeFrom="page">
                <wp:posOffset>1800225</wp:posOffset>
              </wp:positionH>
              <wp:positionV relativeFrom="page">
                <wp:posOffset>2880360</wp:posOffset>
              </wp:positionV>
              <wp:extent cx="3959860" cy="3261360"/>
              <wp:effectExtent l="0" t="0" r="2540" b="0"/>
              <wp:wrapNone/>
              <wp:docPr id="3" name="WordArt 46"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A9BB19A" id="WordArt 46" o:spid="_x0000_s1027" type="#_x0000_t202" alt="Confidential watermark" style="position:absolute;margin-left:141.75pt;margin-top:226.8pt;width:311.8pt;height:256.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CTyHo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20704" behindDoc="1" locked="1" layoutInCell="1" allowOverlap="1" wp14:anchorId="71F94918" wp14:editId="6C7BA97B">
              <wp:simplePos x="0" y="0"/>
              <wp:positionH relativeFrom="page">
                <wp:posOffset>1800225</wp:posOffset>
              </wp:positionH>
              <wp:positionV relativeFrom="page">
                <wp:posOffset>2880360</wp:posOffset>
              </wp:positionV>
              <wp:extent cx="3959860" cy="3261360"/>
              <wp:effectExtent l="0" t="0" r="2540" b="0"/>
              <wp:wrapNone/>
              <wp:docPr id="2" name="WordArt 38"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71F94918" id="WordArt 38" o:spid="_x0000_s1028" type="#_x0000_t202" alt="Confidential watermark" style="position:absolute;margin-left:141.75pt;margin-top:226.8pt;width:311.8pt;height:256.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etraT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06368" behindDoc="1" locked="1" layoutInCell="1" allowOverlap="1" wp14:anchorId="037609FF" wp14:editId="1D416E07">
              <wp:simplePos x="0" y="0"/>
              <wp:positionH relativeFrom="page">
                <wp:posOffset>1800225</wp:posOffset>
              </wp:positionH>
              <wp:positionV relativeFrom="page">
                <wp:posOffset>2880360</wp:posOffset>
              </wp:positionV>
              <wp:extent cx="3959860" cy="3261360"/>
              <wp:effectExtent l="0" t="0" r="2540" b="0"/>
              <wp:wrapNone/>
              <wp:docPr id="1" name="WordArt 24"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37609FF" id="WordArt 24" o:spid="_x0000_s1029" type="#_x0000_t202" alt="Draft watermark" style="position:absolute;margin-left:141.75pt;margin-top:226.8pt;width:311.8pt;height:256.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" filled="f" stroked="f">
              <v:stroke joinstyle="round"/>
              <o:lock v:ext="edit" shapetype="t"/>
              <v:textbox style="mso-fit-shape-to-text:t">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r w:rsidR="009F62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16AC"/>
    <w:multiLevelType w:val="hybridMultilevel"/>
    <w:tmpl w:val="B09600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72120"/>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93386"/>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01755F"/>
    <w:multiLevelType w:val="multilevel"/>
    <w:tmpl w:val="1A8AA198"/>
    <w:styleLink w:val="AUASBListBullets"/>
    <w:lvl w:ilvl="0">
      <w:start w:val="1"/>
      <w:numFmt w:val="bullet"/>
      <w:pStyle w:val="ListBullet"/>
      <w:lvlText w:val=""/>
      <w:lvlJc w:val="left"/>
      <w:pPr>
        <w:tabs>
          <w:tab w:val="num" w:pos="709"/>
        </w:tabs>
        <w:ind w:left="1418" w:hanging="709"/>
      </w:pPr>
      <w:rPr>
        <w:rFonts w:ascii="Symbol" w:hAnsi="Symbol" w:hint="default"/>
        <w:color w:val="auto"/>
      </w:rPr>
    </w:lvl>
    <w:lvl w:ilvl="1">
      <w:start w:val="1"/>
      <w:numFmt w:val="bullet"/>
      <w:pStyle w:val="ListBullet2"/>
      <w:lvlText w:val="o"/>
      <w:lvlJc w:val="left"/>
      <w:pPr>
        <w:tabs>
          <w:tab w:val="num" w:pos="1418"/>
        </w:tabs>
        <w:ind w:left="2127" w:hanging="709"/>
      </w:pPr>
      <w:rPr>
        <w:rFonts w:ascii="Courier New" w:hAnsi="Courier New" w:hint="default"/>
      </w:rPr>
    </w:lvl>
    <w:lvl w:ilvl="2">
      <w:start w:val="1"/>
      <w:numFmt w:val="bullet"/>
      <w:pStyle w:val="ListBullet3"/>
      <w:lvlText w:val=""/>
      <w:lvlJc w:val="left"/>
      <w:pPr>
        <w:tabs>
          <w:tab w:val="num" w:pos="2127"/>
        </w:tabs>
        <w:ind w:left="2836" w:hanging="709"/>
      </w:pPr>
      <w:rPr>
        <w:rFonts w:ascii="Symbol" w:hAnsi="Symbol" w:hint="default"/>
        <w:color w:val="auto"/>
      </w:rPr>
    </w:lvl>
    <w:lvl w:ilvl="3">
      <w:start w:val="1"/>
      <w:numFmt w:val="bullet"/>
      <w:pStyle w:val="ListBullet4"/>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5" w15:restartNumberingAfterBreak="0">
    <w:nsid w:val="17320F7E"/>
    <w:multiLevelType w:val="multilevel"/>
    <w:tmpl w:val="259AFFBE"/>
    <w:numStyleLink w:val="TableNumbers"/>
  </w:abstractNum>
  <w:abstractNum w:abstractNumId="6"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33C5B6B"/>
    <w:multiLevelType w:val="multilevel"/>
    <w:tmpl w:val="1CA2DF2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560"/>
        </w:tabs>
        <w:ind w:left="1560"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35519F4"/>
    <w:multiLevelType w:val="hybridMultilevel"/>
    <w:tmpl w:val="B64A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15:restartNumberingAfterBreak="0">
    <w:nsid w:val="29FF4DFB"/>
    <w:multiLevelType w:val="hybridMultilevel"/>
    <w:tmpl w:val="35F8D9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035FD7"/>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E26BB"/>
    <w:multiLevelType w:val="hybridMultilevel"/>
    <w:tmpl w:val="60C4D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A23BD9"/>
    <w:multiLevelType w:val="hybridMultilevel"/>
    <w:tmpl w:val="809074BC"/>
    <w:lvl w:ilvl="0" w:tplc="FFFFFFFF">
      <w:start w:val="1"/>
      <w:numFmt w:val="bullet"/>
      <w:lvlText w:val=""/>
      <w:lvlJc w:val="left"/>
      <w:pPr>
        <w:tabs>
          <w:tab w:val="num" w:pos="1021"/>
        </w:tabs>
        <w:ind w:left="1021" w:hanging="51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5002F"/>
    <w:multiLevelType w:val="multilevel"/>
    <w:tmpl w:val="259AFFBE"/>
    <w:numStyleLink w:val="TableNumbers"/>
  </w:abstractNum>
  <w:abstractNum w:abstractNumId="16" w15:restartNumberingAfterBreak="0">
    <w:nsid w:val="488C5431"/>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7"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15:restartNumberingAfterBreak="0">
    <w:nsid w:val="653567B0"/>
    <w:multiLevelType w:val="multilevel"/>
    <w:tmpl w:val="259AFFBE"/>
    <w:numStyleLink w:val="TableNumbers"/>
  </w:abstractNum>
  <w:abstractNum w:abstractNumId="20"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731"/>
        </w:tabs>
        <w:ind w:left="731" w:hanging="360"/>
      </w:pPr>
      <w:rPr>
        <w:rFonts w:ascii="Courier New" w:hAnsi="Courier New" w:cs="Times New Roman"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Times New Roman"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Times New Roman"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7B7A5781"/>
    <w:multiLevelType w:val="hybridMultilevel"/>
    <w:tmpl w:val="D0328CDC"/>
    <w:lvl w:ilvl="0" w:tplc="777AF3A0">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4"/>
  </w:num>
  <w:num w:numId="2">
    <w:abstractNumId w:val="6"/>
  </w:num>
  <w:num w:numId="3">
    <w:abstractNumId w:val="7"/>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560"/>
          </w:tabs>
          <w:ind w:left="1560"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5"/>
  </w:num>
  <w:num w:numId="9">
    <w:abstractNumId w:val="19"/>
  </w:num>
  <w:num w:numId="10">
    <w:abstractNumId w:val="13"/>
  </w:num>
  <w:num w:numId="11">
    <w:abstractNumId w:val="17"/>
  </w:num>
  <w:num w:numId="12">
    <w:abstractNumId w:val="18"/>
  </w:num>
  <w:num w:numId="13">
    <w:abstractNumId w:val="11"/>
  </w:num>
  <w:num w:numId="14">
    <w:abstractNumId w:val="12"/>
  </w:num>
  <w:num w:numId="15">
    <w:abstractNumId w:val="0"/>
  </w:num>
  <w:num w:numId="16">
    <w:abstractNumId w:val="16"/>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4"/>
  </w:num>
  <w:num w:numId="60">
    <w:abstractNumId w:val="4"/>
  </w:num>
  <w:num w:numId="61">
    <w:abstractNumId w:val="4"/>
  </w:num>
  <w:num w:numId="62">
    <w:abstractNumId w:val="4"/>
  </w:num>
  <w:num w:numId="63">
    <w:abstractNumId w:val="4"/>
  </w:num>
  <w:num w:numId="64">
    <w:abstractNumId w:val="7"/>
    <w:lvlOverride w:ilvl="1">
      <w:lvl w:ilvl="1">
        <w:start w:val="1"/>
        <w:numFmt w:val="lowerLetter"/>
        <w:pStyle w:val="ParaLevel2"/>
        <w:lvlText w:val="(%2)"/>
        <w:lvlJc w:val="left"/>
        <w:pPr>
          <w:tabs>
            <w:tab w:val="num" w:pos="1418"/>
          </w:tabs>
          <w:ind w:left="1418" w:hanging="709"/>
        </w:pPr>
        <w:rPr>
          <w:rFonts w:hint="default"/>
          <w:u w:val="none"/>
        </w:rPr>
      </w:lvl>
    </w:lvlOverride>
    <w:lvlOverride w:ilvl="0"/>
  </w:num>
  <w:num w:numId="65">
    <w:abstractNumId w:val="6"/>
  </w:num>
  <w:num w:numId="66">
    <w:abstractNumId w:val="6"/>
  </w:num>
  <w:num w:numId="67">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D3"/>
    <w:rsid w:val="00001429"/>
    <w:rsid w:val="0000450C"/>
    <w:rsid w:val="0000664A"/>
    <w:rsid w:val="000137EF"/>
    <w:rsid w:val="00015F83"/>
    <w:rsid w:val="00016C03"/>
    <w:rsid w:val="00017794"/>
    <w:rsid w:val="00020842"/>
    <w:rsid w:val="00024F56"/>
    <w:rsid w:val="00037BF1"/>
    <w:rsid w:val="000402D8"/>
    <w:rsid w:val="000423EA"/>
    <w:rsid w:val="00047298"/>
    <w:rsid w:val="00050BF5"/>
    <w:rsid w:val="00051AD7"/>
    <w:rsid w:val="00054CCA"/>
    <w:rsid w:val="00056F20"/>
    <w:rsid w:val="00061C75"/>
    <w:rsid w:val="00062478"/>
    <w:rsid w:val="00063657"/>
    <w:rsid w:val="00063FAE"/>
    <w:rsid w:val="000651BD"/>
    <w:rsid w:val="00066229"/>
    <w:rsid w:val="000768CA"/>
    <w:rsid w:val="000804F0"/>
    <w:rsid w:val="00080552"/>
    <w:rsid w:val="0008225B"/>
    <w:rsid w:val="000838D8"/>
    <w:rsid w:val="0008431E"/>
    <w:rsid w:val="00085B65"/>
    <w:rsid w:val="00087D11"/>
    <w:rsid w:val="00095091"/>
    <w:rsid w:val="00095D4F"/>
    <w:rsid w:val="00096B2B"/>
    <w:rsid w:val="00097BDA"/>
    <w:rsid w:val="000A1B5A"/>
    <w:rsid w:val="000A2F4F"/>
    <w:rsid w:val="000B0065"/>
    <w:rsid w:val="000B1472"/>
    <w:rsid w:val="000B45D2"/>
    <w:rsid w:val="000B579F"/>
    <w:rsid w:val="000B6092"/>
    <w:rsid w:val="000C5294"/>
    <w:rsid w:val="000D1A44"/>
    <w:rsid w:val="000D2124"/>
    <w:rsid w:val="000D242B"/>
    <w:rsid w:val="000D243E"/>
    <w:rsid w:val="000E5FA6"/>
    <w:rsid w:val="000E7651"/>
    <w:rsid w:val="000F1DEA"/>
    <w:rsid w:val="000F3D05"/>
    <w:rsid w:val="000F5180"/>
    <w:rsid w:val="00104AED"/>
    <w:rsid w:val="00105B19"/>
    <w:rsid w:val="001100E4"/>
    <w:rsid w:val="00110835"/>
    <w:rsid w:val="00112D4A"/>
    <w:rsid w:val="001133B4"/>
    <w:rsid w:val="0011476B"/>
    <w:rsid w:val="00115E2C"/>
    <w:rsid w:val="00116572"/>
    <w:rsid w:val="00120230"/>
    <w:rsid w:val="00120A5F"/>
    <w:rsid w:val="00122DA5"/>
    <w:rsid w:val="00124D7C"/>
    <w:rsid w:val="00130952"/>
    <w:rsid w:val="0013658F"/>
    <w:rsid w:val="00142F1E"/>
    <w:rsid w:val="00142F1F"/>
    <w:rsid w:val="0014590C"/>
    <w:rsid w:val="00151917"/>
    <w:rsid w:val="00154B1E"/>
    <w:rsid w:val="00156235"/>
    <w:rsid w:val="00157874"/>
    <w:rsid w:val="00160A91"/>
    <w:rsid w:val="00161F20"/>
    <w:rsid w:val="00162BF6"/>
    <w:rsid w:val="00167387"/>
    <w:rsid w:val="00171A1D"/>
    <w:rsid w:val="00181DD0"/>
    <w:rsid w:val="00184705"/>
    <w:rsid w:val="0019585A"/>
    <w:rsid w:val="001970E9"/>
    <w:rsid w:val="001A25AE"/>
    <w:rsid w:val="001A38E8"/>
    <w:rsid w:val="001A653A"/>
    <w:rsid w:val="001A728C"/>
    <w:rsid w:val="001B42FB"/>
    <w:rsid w:val="001B5857"/>
    <w:rsid w:val="001B70FB"/>
    <w:rsid w:val="001B75C7"/>
    <w:rsid w:val="001C00FE"/>
    <w:rsid w:val="001C07C4"/>
    <w:rsid w:val="001C5EDF"/>
    <w:rsid w:val="001C671A"/>
    <w:rsid w:val="001C6A39"/>
    <w:rsid w:val="001D08F4"/>
    <w:rsid w:val="001D653F"/>
    <w:rsid w:val="001E4433"/>
    <w:rsid w:val="001F3CFC"/>
    <w:rsid w:val="001F4516"/>
    <w:rsid w:val="002042B5"/>
    <w:rsid w:val="002060B4"/>
    <w:rsid w:val="0021016E"/>
    <w:rsid w:val="00220A36"/>
    <w:rsid w:val="00222D31"/>
    <w:rsid w:val="00223FF7"/>
    <w:rsid w:val="00231133"/>
    <w:rsid w:val="002325A2"/>
    <w:rsid w:val="00232AB3"/>
    <w:rsid w:val="00237187"/>
    <w:rsid w:val="00242443"/>
    <w:rsid w:val="002460B7"/>
    <w:rsid w:val="002527C5"/>
    <w:rsid w:val="002527FD"/>
    <w:rsid w:val="002531EB"/>
    <w:rsid w:val="0025349C"/>
    <w:rsid w:val="002547A5"/>
    <w:rsid w:val="00257B30"/>
    <w:rsid w:val="002620D2"/>
    <w:rsid w:val="00262DBD"/>
    <w:rsid w:val="00265A6E"/>
    <w:rsid w:val="00270E3E"/>
    <w:rsid w:val="00272032"/>
    <w:rsid w:val="00274FCE"/>
    <w:rsid w:val="00275B74"/>
    <w:rsid w:val="00277A56"/>
    <w:rsid w:val="00283C03"/>
    <w:rsid w:val="00284014"/>
    <w:rsid w:val="00285527"/>
    <w:rsid w:val="00285EF7"/>
    <w:rsid w:val="00287D3A"/>
    <w:rsid w:val="00290BB1"/>
    <w:rsid w:val="002958B1"/>
    <w:rsid w:val="00295A84"/>
    <w:rsid w:val="00297D3E"/>
    <w:rsid w:val="002A0143"/>
    <w:rsid w:val="002A06CB"/>
    <w:rsid w:val="002A2D68"/>
    <w:rsid w:val="002B1B75"/>
    <w:rsid w:val="002D25C3"/>
    <w:rsid w:val="002D3424"/>
    <w:rsid w:val="002D5735"/>
    <w:rsid w:val="002D7E51"/>
    <w:rsid w:val="002E0045"/>
    <w:rsid w:val="002E00F8"/>
    <w:rsid w:val="002E3852"/>
    <w:rsid w:val="002E4107"/>
    <w:rsid w:val="002E5F35"/>
    <w:rsid w:val="00300E89"/>
    <w:rsid w:val="00301C19"/>
    <w:rsid w:val="003041EA"/>
    <w:rsid w:val="00306690"/>
    <w:rsid w:val="003151B5"/>
    <w:rsid w:val="003169BB"/>
    <w:rsid w:val="00316D36"/>
    <w:rsid w:val="003214EA"/>
    <w:rsid w:val="00323B44"/>
    <w:rsid w:val="00324997"/>
    <w:rsid w:val="00324E2F"/>
    <w:rsid w:val="00330F60"/>
    <w:rsid w:val="00331C6B"/>
    <w:rsid w:val="00333002"/>
    <w:rsid w:val="00333239"/>
    <w:rsid w:val="00334F5D"/>
    <w:rsid w:val="00342AEB"/>
    <w:rsid w:val="003522A7"/>
    <w:rsid w:val="00354EDE"/>
    <w:rsid w:val="0035556F"/>
    <w:rsid w:val="003569DA"/>
    <w:rsid w:val="00363639"/>
    <w:rsid w:val="003663DE"/>
    <w:rsid w:val="0037659A"/>
    <w:rsid w:val="00376D05"/>
    <w:rsid w:val="0037781A"/>
    <w:rsid w:val="00377BCA"/>
    <w:rsid w:val="00383F6E"/>
    <w:rsid w:val="0038540B"/>
    <w:rsid w:val="00386C4E"/>
    <w:rsid w:val="003907C2"/>
    <w:rsid w:val="00391F52"/>
    <w:rsid w:val="0039623A"/>
    <w:rsid w:val="003A03DE"/>
    <w:rsid w:val="003A0536"/>
    <w:rsid w:val="003A0F68"/>
    <w:rsid w:val="003A5223"/>
    <w:rsid w:val="003A674A"/>
    <w:rsid w:val="003B0028"/>
    <w:rsid w:val="003B0290"/>
    <w:rsid w:val="003B0C9A"/>
    <w:rsid w:val="003B4B78"/>
    <w:rsid w:val="003B5E5E"/>
    <w:rsid w:val="003B7639"/>
    <w:rsid w:val="003D5000"/>
    <w:rsid w:val="003D549C"/>
    <w:rsid w:val="003E2E90"/>
    <w:rsid w:val="003F43B2"/>
    <w:rsid w:val="00400DDC"/>
    <w:rsid w:val="00404E72"/>
    <w:rsid w:val="004123DE"/>
    <w:rsid w:val="00413F49"/>
    <w:rsid w:val="0041572F"/>
    <w:rsid w:val="00415CCA"/>
    <w:rsid w:val="00417D52"/>
    <w:rsid w:val="0042056B"/>
    <w:rsid w:val="00420F6F"/>
    <w:rsid w:val="004230B8"/>
    <w:rsid w:val="0042376E"/>
    <w:rsid w:val="004246A3"/>
    <w:rsid w:val="00430350"/>
    <w:rsid w:val="00434547"/>
    <w:rsid w:val="0043749A"/>
    <w:rsid w:val="00441155"/>
    <w:rsid w:val="004459B5"/>
    <w:rsid w:val="00453D65"/>
    <w:rsid w:val="00454F5C"/>
    <w:rsid w:val="004628BB"/>
    <w:rsid w:val="00465675"/>
    <w:rsid w:val="004668D8"/>
    <w:rsid w:val="00466E48"/>
    <w:rsid w:val="00467DDA"/>
    <w:rsid w:val="00467FB3"/>
    <w:rsid w:val="0047029C"/>
    <w:rsid w:val="00470C0A"/>
    <w:rsid w:val="004749AE"/>
    <w:rsid w:val="004758B3"/>
    <w:rsid w:val="0048334A"/>
    <w:rsid w:val="004902FE"/>
    <w:rsid w:val="004926DB"/>
    <w:rsid w:val="004928EC"/>
    <w:rsid w:val="004977A3"/>
    <w:rsid w:val="004A003C"/>
    <w:rsid w:val="004A4490"/>
    <w:rsid w:val="004A51B7"/>
    <w:rsid w:val="004C04CA"/>
    <w:rsid w:val="004C635F"/>
    <w:rsid w:val="004C6639"/>
    <w:rsid w:val="004D115C"/>
    <w:rsid w:val="004D3084"/>
    <w:rsid w:val="004D4D03"/>
    <w:rsid w:val="004D66D9"/>
    <w:rsid w:val="004D6BFA"/>
    <w:rsid w:val="004D7C5C"/>
    <w:rsid w:val="004E01D3"/>
    <w:rsid w:val="004E0387"/>
    <w:rsid w:val="004E27E0"/>
    <w:rsid w:val="004E2974"/>
    <w:rsid w:val="004E4CEA"/>
    <w:rsid w:val="004F52A2"/>
    <w:rsid w:val="004F7517"/>
    <w:rsid w:val="005001EC"/>
    <w:rsid w:val="00500597"/>
    <w:rsid w:val="0050081C"/>
    <w:rsid w:val="00501ABC"/>
    <w:rsid w:val="00512972"/>
    <w:rsid w:val="00513291"/>
    <w:rsid w:val="00515E71"/>
    <w:rsid w:val="005206ED"/>
    <w:rsid w:val="005213D3"/>
    <w:rsid w:val="00523AA9"/>
    <w:rsid w:val="005258C1"/>
    <w:rsid w:val="00525906"/>
    <w:rsid w:val="0052624B"/>
    <w:rsid w:val="00530B60"/>
    <w:rsid w:val="00532AE9"/>
    <w:rsid w:val="00536BB1"/>
    <w:rsid w:val="00546141"/>
    <w:rsid w:val="0055002A"/>
    <w:rsid w:val="00552FD4"/>
    <w:rsid w:val="00553642"/>
    <w:rsid w:val="005553C1"/>
    <w:rsid w:val="00555DC3"/>
    <w:rsid w:val="00561AFD"/>
    <w:rsid w:val="00563F22"/>
    <w:rsid w:val="00565901"/>
    <w:rsid w:val="0056723E"/>
    <w:rsid w:val="00575E6B"/>
    <w:rsid w:val="00582B2A"/>
    <w:rsid w:val="00586897"/>
    <w:rsid w:val="00591D47"/>
    <w:rsid w:val="00592B3C"/>
    <w:rsid w:val="00592F3D"/>
    <w:rsid w:val="00594FFE"/>
    <w:rsid w:val="005A22F6"/>
    <w:rsid w:val="005A3ADE"/>
    <w:rsid w:val="005A560D"/>
    <w:rsid w:val="005B09DA"/>
    <w:rsid w:val="005B3A90"/>
    <w:rsid w:val="005B3C34"/>
    <w:rsid w:val="005B40E7"/>
    <w:rsid w:val="005B63BD"/>
    <w:rsid w:val="005B6DD5"/>
    <w:rsid w:val="005B7020"/>
    <w:rsid w:val="005B7641"/>
    <w:rsid w:val="005C3860"/>
    <w:rsid w:val="005C67E3"/>
    <w:rsid w:val="005D1D9A"/>
    <w:rsid w:val="005D4C1D"/>
    <w:rsid w:val="005D5111"/>
    <w:rsid w:val="005D60F8"/>
    <w:rsid w:val="005E5F38"/>
    <w:rsid w:val="005E6C67"/>
    <w:rsid w:val="005E7014"/>
    <w:rsid w:val="005E719C"/>
    <w:rsid w:val="005F2471"/>
    <w:rsid w:val="005F79BA"/>
    <w:rsid w:val="005F7D6B"/>
    <w:rsid w:val="006014A0"/>
    <w:rsid w:val="0060496A"/>
    <w:rsid w:val="00604D0C"/>
    <w:rsid w:val="00604F56"/>
    <w:rsid w:val="00613A8E"/>
    <w:rsid w:val="00614675"/>
    <w:rsid w:val="00627868"/>
    <w:rsid w:val="00632DFA"/>
    <w:rsid w:val="00635B00"/>
    <w:rsid w:val="0063639C"/>
    <w:rsid w:val="00636CA2"/>
    <w:rsid w:val="00643057"/>
    <w:rsid w:val="00643692"/>
    <w:rsid w:val="00643A9A"/>
    <w:rsid w:val="00643F1D"/>
    <w:rsid w:val="00644257"/>
    <w:rsid w:val="006564F3"/>
    <w:rsid w:val="006629D2"/>
    <w:rsid w:val="00663A8E"/>
    <w:rsid w:val="00666470"/>
    <w:rsid w:val="006667D5"/>
    <w:rsid w:val="00670088"/>
    <w:rsid w:val="00671E41"/>
    <w:rsid w:val="00680CD5"/>
    <w:rsid w:val="00685EB1"/>
    <w:rsid w:val="006923C1"/>
    <w:rsid w:val="00693C9F"/>
    <w:rsid w:val="006948F4"/>
    <w:rsid w:val="006A1F8C"/>
    <w:rsid w:val="006A4C35"/>
    <w:rsid w:val="006A533A"/>
    <w:rsid w:val="006A62E2"/>
    <w:rsid w:val="006A72BA"/>
    <w:rsid w:val="006B1D6F"/>
    <w:rsid w:val="006B562A"/>
    <w:rsid w:val="006B5665"/>
    <w:rsid w:val="006C04A5"/>
    <w:rsid w:val="006C24A9"/>
    <w:rsid w:val="006D155D"/>
    <w:rsid w:val="006D29B1"/>
    <w:rsid w:val="006D2E4C"/>
    <w:rsid w:val="006D540A"/>
    <w:rsid w:val="006E0C6B"/>
    <w:rsid w:val="006E2A9B"/>
    <w:rsid w:val="006E3517"/>
    <w:rsid w:val="006E3FA5"/>
    <w:rsid w:val="006E419A"/>
    <w:rsid w:val="006E54D6"/>
    <w:rsid w:val="006E6FC3"/>
    <w:rsid w:val="006F5E8E"/>
    <w:rsid w:val="006F6216"/>
    <w:rsid w:val="006F6EF4"/>
    <w:rsid w:val="007017F8"/>
    <w:rsid w:val="00705A67"/>
    <w:rsid w:val="00711516"/>
    <w:rsid w:val="007137E9"/>
    <w:rsid w:val="0072235E"/>
    <w:rsid w:val="00722F13"/>
    <w:rsid w:val="00735559"/>
    <w:rsid w:val="00735ECC"/>
    <w:rsid w:val="007364D7"/>
    <w:rsid w:val="007449B9"/>
    <w:rsid w:val="007459A9"/>
    <w:rsid w:val="0075049E"/>
    <w:rsid w:val="00754FCB"/>
    <w:rsid w:val="00755AC9"/>
    <w:rsid w:val="0076007F"/>
    <w:rsid w:val="00772363"/>
    <w:rsid w:val="00780CC2"/>
    <w:rsid w:val="00781DD7"/>
    <w:rsid w:val="00782360"/>
    <w:rsid w:val="0078331F"/>
    <w:rsid w:val="00796F9D"/>
    <w:rsid w:val="007977C0"/>
    <w:rsid w:val="007A137A"/>
    <w:rsid w:val="007B0D3D"/>
    <w:rsid w:val="007B0D47"/>
    <w:rsid w:val="007B2049"/>
    <w:rsid w:val="007B3F9B"/>
    <w:rsid w:val="007B5ACC"/>
    <w:rsid w:val="007B60DF"/>
    <w:rsid w:val="007B7145"/>
    <w:rsid w:val="007C49FD"/>
    <w:rsid w:val="007C4C65"/>
    <w:rsid w:val="007D5FB5"/>
    <w:rsid w:val="007D78A3"/>
    <w:rsid w:val="007E1734"/>
    <w:rsid w:val="007E4DC2"/>
    <w:rsid w:val="007F0D16"/>
    <w:rsid w:val="007F2070"/>
    <w:rsid w:val="007F3D92"/>
    <w:rsid w:val="007F4201"/>
    <w:rsid w:val="007F42C4"/>
    <w:rsid w:val="007F5A1E"/>
    <w:rsid w:val="007F6DA4"/>
    <w:rsid w:val="00801050"/>
    <w:rsid w:val="00806A9F"/>
    <w:rsid w:val="00811F04"/>
    <w:rsid w:val="00814E1B"/>
    <w:rsid w:val="00820ADE"/>
    <w:rsid w:val="00822A0F"/>
    <w:rsid w:val="00822EFF"/>
    <w:rsid w:val="008254E6"/>
    <w:rsid w:val="00825A49"/>
    <w:rsid w:val="00825AAF"/>
    <w:rsid w:val="00853BFC"/>
    <w:rsid w:val="008546BE"/>
    <w:rsid w:val="008550FE"/>
    <w:rsid w:val="00857791"/>
    <w:rsid w:val="00857A6F"/>
    <w:rsid w:val="008618F2"/>
    <w:rsid w:val="0086627F"/>
    <w:rsid w:val="0087034C"/>
    <w:rsid w:val="00872A39"/>
    <w:rsid w:val="008742A8"/>
    <w:rsid w:val="008772D3"/>
    <w:rsid w:val="00880310"/>
    <w:rsid w:val="008809E8"/>
    <w:rsid w:val="008844E4"/>
    <w:rsid w:val="00884669"/>
    <w:rsid w:val="008879DB"/>
    <w:rsid w:val="00893E18"/>
    <w:rsid w:val="00894B3B"/>
    <w:rsid w:val="00894F9E"/>
    <w:rsid w:val="008A3D91"/>
    <w:rsid w:val="008A5640"/>
    <w:rsid w:val="008A5AAF"/>
    <w:rsid w:val="008A7B2D"/>
    <w:rsid w:val="008B0B2F"/>
    <w:rsid w:val="008B6960"/>
    <w:rsid w:val="008B74DD"/>
    <w:rsid w:val="008B7F03"/>
    <w:rsid w:val="008C7C42"/>
    <w:rsid w:val="008D4F35"/>
    <w:rsid w:val="008D6187"/>
    <w:rsid w:val="008D6B59"/>
    <w:rsid w:val="008E386B"/>
    <w:rsid w:val="008E533B"/>
    <w:rsid w:val="008F2CBF"/>
    <w:rsid w:val="008F418D"/>
    <w:rsid w:val="008F484B"/>
    <w:rsid w:val="00907178"/>
    <w:rsid w:val="0090753A"/>
    <w:rsid w:val="00911337"/>
    <w:rsid w:val="0091133F"/>
    <w:rsid w:val="0091216A"/>
    <w:rsid w:val="00912D3F"/>
    <w:rsid w:val="00920509"/>
    <w:rsid w:val="00925D09"/>
    <w:rsid w:val="00926344"/>
    <w:rsid w:val="00934A78"/>
    <w:rsid w:val="00936ED7"/>
    <w:rsid w:val="00941457"/>
    <w:rsid w:val="00946A86"/>
    <w:rsid w:val="00946B56"/>
    <w:rsid w:val="00950644"/>
    <w:rsid w:val="0095127E"/>
    <w:rsid w:val="009550A1"/>
    <w:rsid w:val="00957C55"/>
    <w:rsid w:val="00960A96"/>
    <w:rsid w:val="00961A1D"/>
    <w:rsid w:val="00963076"/>
    <w:rsid w:val="00963240"/>
    <w:rsid w:val="009654B6"/>
    <w:rsid w:val="00965645"/>
    <w:rsid w:val="00972F50"/>
    <w:rsid w:val="00975513"/>
    <w:rsid w:val="00987C4B"/>
    <w:rsid w:val="009944AC"/>
    <w:rsid w:val="00995437"/>
    <w:rsid w:val="009A10EE"/>
    <w:rsid w:val="009A1226"/>
    <w:rsid w:val="009A2A31"/>
    <w:rsid w:val="009A7E60"/>
    <w:rsid w:val="009A7ECB"/>
    <w:rsid w:val="009B0E8A"/>
    <w:rsid w:val="009B1256"/>
    <w:rsid w:val="009C289F"/>
    <w:rsid w:val="009C43B8"/>
    <w:rsid w:val="009C471A"/>
    <w:rsid w:val="009C71C0"/>
    <w:rsid w:val="009D002D"/>
    <w:rsid w:val="009D3BEF"/>
    <w:rsid w:val="009D75FA"/>
    <w:rsid w:val="009E1C25"/>
    <w:rsid w:val="009E2DB2"/>
    <w:rsid w:val="009E3206"/>
    <w:rsid w:val="009F174D"/>
    <w:rsid w:val="009F4903"/>
    <w:rsid w:val="009F566D"/>
    <w:rsid w:val="009F626B"/>
    <w:rsid w:val="009F6A28"/>
    <w:rsid w:val="00A00B52"/>
    <w:rsid w:val="00A04AC3"/>
    <w:rsid w:val="00A10C19"/>
    <w:rsid w:val="00A115E9"/>
    <w:rsid w:val="00A11E69"/>
    <w:rsid w:val="00A125F0"/>
    <w:rsid w:val="00A134B2"/>
    <w:rsid w:val="00A13EDD"/>
    <w:rsid w:val="00A22AC3"/>
    <w:rsid w:val="00A274C0"/>
    <w:rsid w:val="00A37C0E"/>
    <w:rsid w:val="00A421CB"/>
    <w:rsid w:val="00A42A02"/>
    <w:rsid w:val="00A43149"/>
    <w:rsid w:val="00A4322A"/>
    <w:rsid w:val="00A4390C"/>
    <w:rsid w:val="00A43BDE"/>
    <w:rsid w:val="00A45119"/>
    <w:rsid w:val="00A516F2"/>
    <w:rsid w:val="00A5352A"/>
    <w:rsid w:val="00A5777C"/>
    <w:rsid w:val="00A63448"/>
    <w:rsid w:val="00A64488"/>
    <w:rsid w:val="00A70A26"/>
    <w:rsid w:val="00A70B23"/>
    <w:rsid w:val="00A7608A"/>
    <w:rsid w:val="00A820DC"/>
    <w:rsid w:val="00A840B3"/>
    <w:rsid w:val="00A84D82"/>
    <w:rsid w:val="00A86F40"/>
    <w:rsid w:val="00A87E49"/>
    <w:rsid w:val="00A91836"/>
    <w:rsid w:val="00AA1CB5"/>
    <w:rsid w:val="00AA2EF7"/>
    <w:rsid w:val="00AA3D82"/>
    <w:rsid w:val="00AA3EAC"/>
    <w:rsid w:val="00AA4315"/>
    <w:rsid w:val="00AA46D1"/>
    <w:rsid w:val="00AC0F4C"/>
    <w:rsid w:val="00AC241B"/>
    <w:rsid w:val="00AC7C3E"/>
    <w:rsid w:val="00AD414F"/>
    <w:rsid w:val="00AE022A"/>
    <w:rsid w:val="00AE1C1D"/>
    <w:rsid w:val="00AE50B8"/>
    <w:rsid w:val="00AF2F98"/>
    <w:rsid w:val="00AF2FB4"/>
    <w:rsid w:val="00AF564A"/>
    <w:rsid w:val="00AF57CC"/>
    <w:rsid w:val="00B01144"/>
    <w:rsid w:val="00B11C62"/>
    <w:rsid w:val="00B1529E"/>
    <w:rsid w:val="00B15BD5"/>
    <w:rsid w:val="00B171C7"/>
    <w:rsid w:val="00B20E48"/>
    <w:rsid w:val="00B2506F"/>
    <w:rsid w:val="00B276D6"/>
    <w:rsid w:val="00B30370"/>
    <w:rsid w:val="00B314B2"/>
    <w:rsid w:val="00B32854"/>
    <w:rsid w:val="00B40454"/>
    <w:rsid w:val="00B46F3B"/>
    <w:rsid w:val="00B50D4A"/>
    <w:rsid w:val="00B52E7D"/>
    <w:rsid w:val="00B556F8"/>
    <w:rsid w:val="00B60D86"/>
    <w:rsid w:val="00B615D8"/>
    <w:rsid w:val="00B61CA0"/>
    <w:rsid w:val="00B63399"/>
    <w:rsid w:val="00B7291D"/>
    <w:rsid w:val="00B74ABB"/>
    <w:rsid w:val="00B77887"/>
    <w:rsid w:val="00B83C41"/>
    <w:rsid w:val="00B84005"/>
    <w:rsid w:val="00B841A4"/>
    <w:rsid w:val="00B84318"/>
    <w:rsid w:val="00B865D4"/>
    <w:rsid w:val="00B90D85"/>
    <w:rsid w:val="00BA78C2"/>
    <w:rsid w:val="00BB5CDA"/>
    <w:rsid w:val="00BC1BE5"/>
    <w:rsid w:val="00BC1FB4"/>
    <w:rsid w:val="00BD03D7"/>
    <w:rsid w:val="00BD1311"/>
    <w:rsid w:val="00BD1B10"/>
    <w:rsid w:val="00BD2914"/>
    <w:rsid w:val="00BD497C"/>
    <w:rsid w:val="00BD7327"/>
    <w:rsid w:val="00BE1804"/>
    <w:rsid w:val="00BE3FA6"/>
    <w:rsid w:val="00BE42CC"/>
    <w:rsid w:val="00BE654A"/>
    <w:rsid w:val="00BE65DA"/>
    <w:rsid w:val="00BF1E28"/>
    <w:rsid w:val="00BF24C7"/>
    <w:rsid w:val="00BF4BB6"/>
    <w:rsid w:val="00BF6320"/>
    <w:rsid w:val="00BF738C"/>
    <w:rsid w:val="00C00DBB"/>
    <w:rsid w:val="00C017AD"/>
    <w:rsid w:val="00C02D66"/>
    <w:rsid w:val="00C12913"/>
    <w:rsid w:val="00C22775"/>
    <w:rsid w:val="00C2414E"/>
    <w:rsid w:val="00C25B59"/>
    <w:rsid w:val="00C35FB0"/>
    <w:rsid w:val="00C40171"/>
    <w:rsid w:val="00C408B4"/>
    <w:rsid w:val="00C44325"/>
    <w:rsid w:val="00C44ECD"/>
    <w:rsid w:val="00C611F3"/>
    <w:rsid w:val="00C649F8"/>
    <w:rsid w:val="00C76476"/>
    <w:rsid w:val="00C82BA2"/>
    <w:rsid w:val="00C84487"/>
    <w:rsid w:val="00C84D7A"/>
    <w:rsid w:val="00C86606"/>
    <w:rsid w:val="00C908DF"/>
    <w:rsid w:val="00C92049"/>
    <w:rsid w:val="00C92447"/>
    <w:rsid w:val="00C93F6C"/>
    <w:rsid w:val="00C94118"/>
    <w:rsid w:val="00C96A67"/>
    <w:rsid w:val="00CA142C"/>
    <w:rsid w:val="00CA184B"/>
    <w:rsid w:val="00CA27DF"/>
    <w:rsid w:val="00CA3EDC"/>
    <w:rsid w:val="00CA4E41"/>
    <w:rsid w:val="00CB1B5F"/>
    <w:rsid w:val="00CB36A9"/>
    <w:rsid w:val="00CB4AE3"/>
    <w:rsid w:val="00CB73EC"/>
    <w:rsid w:val="00CC3D83"/>
    <w:rsid w:val="00CC7EFB"/>
    <w:rsid w:val="00CD3D6B"/>
    <w:rsid w:val="00CD7D09"/>
    <w:rsid w:val="00CE2FCD"/>
    <w:rsid w:val="00CE5536"/>
    <w:rsid w:val="00CE7142"/>
    <w:rsid w:val="00CF1760"/>
    <w:rsid w:val="00CF24C8"/>
    <w:rsid w:val="00CF3F3E"/>
    <w:rsid w:val="00CF4F36"/>
    <w:rsid w:val="00D0132B"/>
    <w:rsid w:val="00D02E0F"/>
    <w:rsid w:val="00D0558B"/>
    <w:rsid w:val="00D057D0"/>
    <w:rsid w:val="00D064F1"/>
    <w:rsid w:val="00D12099"/>
    <w:rsid w:val="00D12706"/>
    <w:rsid w:val="00D133B5"/>
    <w:rsid w:val="00D14408"/>
    <w:rsid w:val="00D14710"/>
    <w:rsid w:val="00D22F2C"/>
    <w:rsid w:val="00D232FB"/>
    <w:rsid w:val="00D24290"/>
    <w:rsid w:val="00D24B1E"/>
    <w:rsid w:val="00D270AB"/>
    <w:rsid w:val="00D30A78"/>
    <w:rsid w:val="00D44126"/>
    <w:rsid w:val="00D44623"/>
    <w:rsid w:val="00D45D46"/>
    <w:rsid w:val="00D45F29"/>
    <w:rsid w:val="00D51EB7"/>
    <w:rsid w:val="00D542C5"/>
    <w:rsid w:val="00D61FF9"/>
    <w:rsid w:val="00D64D72"/>
    <w:rsid w:val="00D66EEE"/>
    <w:rsid w:val="00D6750F"/>
    <w:rsid w:val="00D723F2"/>
    <w:rsid w:val="00D724D3"/>
    <w:rsid w:val="00D72866"/>
    <w:rsid w:val="00D749E7"/>
    <w:rsid w:val="00D75C28"/>
    <w:rsid w:val="00D807C5"/>
    <w:rsid w:val="00D856A0"/>
    <w:rsid w:val="00D86523"/>
    <w:rsid w:val="00D87202"/>
    <w:rsid w:val="00D94FEF"/>
    <w:rsid w:val="00DA3F0F"/>
    <w:rsid w:val="00DA75CC"/>
    <w:rsid w:val="00DC2F4A"/>
    <w:rsid w:val="00DC78A8"/>
    <w:rsid w:val="00DD0BB8"/>
    <w:rsid w:val="00DD1F4D"/>
    <w:rsid w:val="00DD26CF"/>
    <w:rsid w:val="00DD402A"/>
    <w:rsid w:val="00DD647F"/>
    <w:rsid w:val="00DD6627"/>
    <w:rsid w:val="00DE16E0"/>
    <w:rsid w:val="00DF1333"/>
    <w:rsid w:val="00E017EF"/>
    <w:rsid w:val="00E05885"/>
    <w:rsid w:val="00E07541"/>
    <w:rsid w:val="00E12902"/>
    <w:rsid w:val="00E14B9B"/>
    <w:rsid w:val="00E15AD6"/>
    <w:rsid w:val="00E16DB3"/>
    <w:rsid w:val="00E2127D"/>
    <w:rsid w:val="00E23A9A"/>
    <w:rsid w:val="00E3143D"/>
    <w:rsid w:val="00E31F0A"/>
    <w:rsid w:val="00E35C69"/>
    <w:rsid w:val="00E40537"/>
    <w:rsid w:val="00E40553"/>
    <w:rsid w:val="00E4130C"/>
    <w:rsid w:val="00E4168E"/>
    <w:rsid w:val="00E43075"/>
    <w:rsid w:val="00E4450D"/>
    <w:rsid w:val="00E46989"/>
    <w:rsid w:val="00E50216"/>
    <w:rsid w:val="00E50A29"/>
    <w:rsid w:val="00E51C55"/>
    <w:rsid w:val="00E53B4F"/>
    <w:rsid w:val="00E54040"/>
    <w:rsid w:val="00E55CDE"/>
    <w:rsid w:val="00E55D0A"/>
    <w:rsid w:val="00E55FFC"/>
    <w:rsid w:val="00E57BEF"/>
    <w:rsid w:val="00E61673"/>
    <w:rsid w:val="00E650A3"/>
    <w:rsid w:val="00E66AE8"/>
    <w:rsid w:val="00E710CD"/>
    <w:rsid w:val="00E71E3D"/>
    <w:rsid w:val="00E72AB8"/>
    <w:rsid w:val="00E740FE"/>
    <w:rsid w:val="00E87FAF"/>
    <w:rsid w:val="00E95FB9"/>
    <w:rsid w:val="00EA541F"/>
    <w:rsid w:val="00EB01F0"/>
    <w:rsid w:val="00EB3274"/>
    <w:rsid w:val="00EB7F4C"/>
    <w:rsid w:val="00EC7FE6"/>
    <w:rsid w:val="00ED013D"/>
    <w:rsid w:val="00EE1F8F"/>
    <w:rsid w:val="00EE1FE0"/>
    <w:rsid w:val="00EE3651"/>
    <w:rsid w:val="00EE4258"/>
    <w:rsid w:val="00EE4507"/>
    <w:rsid w:val="00EE5190"/>
    <w:rsid w:val="00EE73FC"/>
    <w:rsid w:val="00EE7F94"/>
    <w:rsid w:val="00EF0679"/>
    <w:rsid w:val="00EF0DC6"/>
    <w:rsid w:val="00EF4389"/>
    <w:rsid w:val="00EF5357"/>
    <w:rsid w:val="00F00BD2"/>
    <w:rsid w:val="00F06E4F"/>
    <w:rsid w:val="00F0700A"/>
    <w:rsid w:val="00F211DD"/>
    <w:rsid w:val="00F22247"/>
    <w:rsid w:val="00F23159"/>
    <w:rsid w:val="00F32451"/>
    <w:rsid w:val="00F35552"/>
    <w:rsid w:val="00F3555C"/>
    <w:rsid w:val="00F36EE6"/>
    <w:rsid w:val="00F4215A"/>
    <w:rsid w:val="00F45376"/>
    <w:rsid w:val="00F45CF2"/>
    <w:rsid w:val="00F46978"/>
    <w:rsid w:val="00F500E0"/>
    <w:rsid w:val="00F608C9"/>
    <w:rsid w:val="00F61B9A"/>
    <w:rsid w:val="00F622C0"/>
    <w:rsid w:val="00F70BA6"/>
    <w:rsid w:val="00F73DAF"/>
    <w:rsid w:val="00F753F2"/>
    <w:rsid w:val="00F7785B"/>
    <w:rsid w:val="00F82281"/>
    <w:rsid w:val="00F85EFF"/>
    <w:rsid w:val="00F8727A"/>
    <w:rsid w:val="00FA59D1"/>
    <w:rsid w:val="00FA6197"/>
    <w:rsid w:val="00FA735C"/>
    <w:rsid w:val="00FA789F"/>
    <w:rsid w:val="00FB492A"/>
    <w:rsid w:val="00FB50F3"/>
    <w:rsid w:val="00FB7655"/>
    <w:rsid w:val="00FC1B50"/>
    <w:rsid w:val="00FC1EBA"/>
    <w:rsid w:val="00FC40CD"/>
    <w:rsid w:val="00FC6D4D"/>
    <w:rsid w:val="00FC7308"/>
    <w:rsid w:val="00FD09A4"/>
    <w:rsid w:val="00FD1599"/>
    <w:rsid w:val="00FD7138"/>
    <w:rsid w:val="00FE0704"/>
    <w:rsid w:val="00FE1704"/>
    <w:rsid w:val="00FF0154"/>
    <w:rsid w:val="00FF0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0B7EA9CE"/>
  <w15:docId w15:val="{F7DB87AE-4DAF-43A5-A1C8-8EA40480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semiHidden="1" w:uiPriority="1"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1"/>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Footnote Text Char2 Char,Footnote Text Char1 Char Char,Footnote Text Char Char Char Char,ARM footnote Text Char Char Char,Footnote Text Char Char1 Char,ARM footnote Text Char1 Char,Footnote Text Char Char,Footnote New,ARM 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link w:val="ListBulletChar"/>
    <w:uiPriority w:val="3"/>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1"/>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3"/>
    <w:qFormat/>
    <w:rsid w:val="00946A86"/>
    <w:pPr>
      <w:numPr>
        <w:ilvl w:val="1"/>
        <w:numId w:val="1"/>
      </w:numPr>
      <w:outlineLvl w:val="1"/>
    </w:pPr>
  </w:style>
  <w:style w:type="paragraph" w:customStyle="1" w:styleId="ListBullet3">
    <w:name w:val="ListBullet3"/>
    <w:basedOn w:val="ParaPlain"/>
    <w:uiPriority w:val="3"/>
    <w:qFormat/>
    <w:rsid w:val="00946A86"/>
    <w:pPr>
      <w:numPr>
        <w:ilvl w:val="2"/>
        <w:numId w:val="1"/>
      </w:numPr>
      <w:outlineLvl w:val="2"/>
    </w:pPr>
  </w:style>
  <w:style w:type="paragraph" w:customStyle="1" w:styleId="ListBullet4">
    <w:name w:val="ListBullet4"/>
    <w:basedOn w:val="ParaPlain"/>
    <w:uiPriority w:val="3"/>
    <w:qFormat/>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7364D7"/>
    <w:pPr>
      <w:tabs>
        <w:tab w:val="right" w:leader="dot" w:pos="9071"/>
      </w:tabs>
      <w:spacing w:before="120"/>
      <w:ind w:left="142" w:right="1418"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24"/>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paragraph" w:customStyle="1" w:styleId="ListNum1">
    <w:name w:val="ListNum1"/>
    <w:basedOn w:val="ParaPlain"/>
    <w:rsid w:val="004E01D3"/>
    <w:pPr>
      <w:numPr>
        <w:numId w:val="11"/>
      </w:numPr>
    </w:pPr>
  </w:style>
  <w:style w:type="paragraph" w:customStyle="1" w:styleId="ListNum2">
    <w:name w:val="ListNum2"/>
    <w:basedOn w:val="ParaPlain"/>
    <w:link w:val="ListNum2Char"/>
    <w:rsid w:val="004E01D3"/>
    <w:pPr>
      <w:numPr>
        <w:ilvl w:val="1"/>
        <w:numId w:val="11"/>
      </w:numPr>
    </w:pPr>
  </w:style>
  <w:style w:type="paragraph" w:customStyle="1" w:styleId="ListNum3">
    <w:name w:val="ListNum3"/>
    <w:basedOn w:val="ParaPlain"/>
    <w:rsid w:val="004E01D3"/>
    <w:pPr>
      <w:numPr>
        <w:ilvl w:val="2"/>
        <w:numId w:val="11"/>
      </w:numPr>
      <w:tabs>
        <w:tab w:val="left" w:pos="2126"/>
      </w:tabs>
    </w:pPr>
  </w:style>
  <w:style w:type="paragraph" w:customStyle="1" w:styleId="Default">
    <w:name w:val="Default"/>
    <w:rsid w:val="00C84D7A"/>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uiPriority w:val="1"/>
    <w:rsid w:val="002D7E51"/>
    <w:rPr>
      <w:b/>
      <w:bCs/>
      <w:iCs/>
      <w:sz w:val="26"/>
      <w:szCs w:val="26"/>
      <w:lang w:eastAsia="en-US"/>
    </w:rPr>
  </w:style>
  <w:style w:type="character" w:styleId="FollowedHyperlink">
    <w:name w:val="FollowedHyperlink"/>
    <w:basedOn w:val="DefaultParagraphFont"/>
    <w:semiHidden/>
    <w:rsid w:val="004F7517"/>
    <w:rPr>
      <w:color w:val="800080" w:themeColor="followedHyperlink"/>
      <w:u w:val="single"/>
    </w:rPr>
  </w:style>
  <w:style w:type="character" w:customStyle="1" w:styleId="FootnoteTextChar">
    <w:name w:val="Footnote Text Char"/>
    <w:aliases w:val="Footnote Text Char2 Char Char,Footnote Text Char1 Char Char Char,Footnote Text Char Char Char Char Char,ARM footnote Text Char Char Char Char,Footnote Text Char Char1 Char Char,ARM footnote Text Char1 Char Char,Footnote New Char"/>
    <w:basedOn w:val="DefaultParagraphFont"/>
    <w:link w:val="FootnoteText"/>
    <w:locked/>
    <w:rsid w:val="00160A91"/>
    <w:rPr>
      <w:sz w:val="16"/>
      <w:lang w:eastAsia="en-US"/>
    </w:rPr>
  </w:style>
  <w:style w:type="character" w:customStyle="1" w:styleId="ListBulletChar">
    <w:name w:val="ListBullet Char"/>
    <w:basedOn w:val="ParaPlainChar"/>
    <w:link w:val="ListBullet"/>
    <w:locked/>
    <w:rsid w:val="00160A91"/>
    <w:rPr>
      <w:sz w:val="22"/>
      <w:lang w:eastAsia="en-US"/>
    </w:rPr>
  </w:style>
  <w:style w:type="character" w:customStyle="1" w:styleId="ListNum2Char">
    <w:name w:val="ListNum2 Char"/>
    <w:basedOn w:val="ParaPlainChar"/>
    <w:link w:val="ListNum2"/>
    <w:locked/>
    <w:rsid w:val="00160A91"/>
    <w:rPr>
      <w:sz w:val="22"/>
      <w:lang w:eastAsia="en-US"/>
    </w:rPr>
  </w:style>
  <w:style w:type="character" w:customStyle="1" w:styleId="FootnoteTextChar7">
    <w:name w:val="Footnote Text Char7"/>
    <w:aliases w:val="ARM footnote Text Char,Footnote Text Char1 Char,Footnote Text Char11 Char,Footnote Text Char3 Char,Footnote Text Char4 Char,Footnote Text Char5 Char,Footnote Text Char6 Char"/>
    <w:semiHidden/>
    <w:rsid w:val="008A5AAF"/>
    <w:rPr>
      <w:sz w:val="16"/>
      <w:lang w:val="en-AU" w:eastAsia="en-US" w:bidi="ar-SA"/>
    </w:rPr>
  </w:style>
  <w:style w:type="character" w:styleId="CommentReference">
    <w:name w:val="annotation reference"/>
    <w:basedOn w:val="DefaultParagraphFont"/>
    <w:semiHidden/>
    <w:rsid w:val="009B0E8A"/>
    <w:rPr>
      <w:sz w:val="16"/>
      <w:szCs w:val="16"/>
    </w:rPr>
  </w:style>
  <w:style w:type="paragraph" w:styleId="CommentText">
    <w:name w:val="annotation text"/>
    <w:basedOn w:val="Normal"/>
    <w:link w:val="CommentTextChar"/>
    <w:semiHidden/>
    <w:rsid w:val="009B0E8A"/>
    <w:pPr>
      <w:spacing w:line="240" w:lineRule="auto"/>
    </w:pPr>
    <w:rPr>
      <w:sz w:val="20"/>
    </w:rPr>
  </w:style>
  <w:style w:type="character" w:customStyle="1" w:styleId="CommentTextChar">
    <w:name w:val="Comment Text Char"/>
    <w:basedOn w:val="DefaultParagraphFont"/>
    <w:link w:val="CommentText"/>
    <w:semiHidden/>
    <w:rsid w:val="009B0E8A"/>
    <w:rPr>
      <w:lang w:eastAsia="en-US"/>
    </w:rPr>
  </w:style>
  <w:style w:type="paragraph" w:styleId="CommentSubject">
    <w:name w:val="annotation subject"/>
    <w:basedOn w:val="CommentText"/>
    <w:next w:val="CommentText"/>
    <w:link w:val="CommentSubjectChar"/>
    <w:semiHidden/>
    <w:rsid w:val="009B0E8A"/>
    <w:rPr>
      <w:b/>
      <w:bCs/>
    </w:rPr>
  </w:style>
  <w:style w:type="character" w:customStyle="1" w:styleId="CommentSubjectChar">
    <w:name w:val="Comment Subject Char"/>
    <w:basedOn w:val="CommentTextChar"/>
    <w:link w:val="CommentSubject"/>
    <w:semiHidden/>
    <w:rsid w:val="009B0E8A"/>
    <w:rPr>
      <w:b/>
      <w:bCs/>
      <w:lang w:eastAsia="en-US"/>
    </w:rPr>
  </w:style>
  <w:style w:type="character" w:styleId="PlaceholderText">
    <w:name w:val="Placeholder Text"/>
    <w:basedOn w:val="DefaultParagraphFont"/>
    <w:uiPriority w:val="99"/>
    <w:semiHidden/>
    <w:rsid w:val="0091133F"/>
    <w:rPr>
      <w:color w:val="808080"/>
    </w:rPr>
  </w:style>
  <w:style w:type="paragraph" w:styleId="NormalWeb">
    <w:name w:val="Normal (Web)"/>
    <w:basedOn w:val="Normal"/>
    <w:uiPriority w:val="99"/>
    <w:semiHidden/>
    <w:unhideWhenUsed/>
    <w:rsid w:val="00CB36A9"/>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542952">
      <w:bodyDiv w:val="1"/>
      <w:marLeft w:val="0"/>
      <w:marRight w:val="0"/>
      <w:marTop w:val="0"/>
      <w:marBottom w:val="0"/>
      <w:divBdr>
        <w:top w:val="none" w:sz="0" w:space="0" w:color="auto"/>
        <w:left w:val="none" w:sz="0" w:space="0" w:color="auto"/>
        <w:bottom w:val="none" w:sz="0" w:space="0" w:color="auto"/>
        <w:right w:val="none" w:sz="0" w:space="0" w:color="auto"/>
      </w:divBdr>
    </w:div>
    <w:div w:id="848182800">
      <w:bodyDiv w:val="1"/>
      <w:marLeft w:val="0"/>
      <w:marRight w:val="0"/>
      <w:marTop w:val="0"/>
      <w:marBottom w:val="0"/>
      <w:divBdr>
        <w:top w:val="none" w:sz="0" w:space="0" w:color="auto"/>
        <w:left w:val="none" w:sz="0" w:space="0" w:color="auto"/>
        <w:bottom w:val="none" w:sz="0" w:space="0" w:color="auto"/>
        <w:right w:val="none" w:sz="0" w:space="0" w:color="auto"/>
      </w:divBdr>
    </w:div>
    <w:div w:id="13672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88A63-9297-42F8-B9E6-0C74ED3440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EFF16-721C-47BF-9BA7-89BBCE65B983}">
  <ds:schemaRefs>
    <ds:schemaRef ds:uri="http://schemas.openxmlformats.org/officeDocument/2006/bibliography"/>
  </ds:schemaRefs>
</ds:datastoreItem>
</file>

<file path=customXml/itemProps3.xml><?xml version="1.0" encoding="utf-8"?>
<ds:datastoreItem xmlns:ds="http://schemas.openxmlformats.org/officeDocument/2006/customXml" ds:itemID="{F9E6773C-92F6-4C20-869C-38CBA85222D7}">
  <ds:schemaRefs>
    <ds:schemaRef ds:uri="http://schemas.microsoft.com/sharepoint/v3/contenttype/forms"/>
  </ds:schemaRefs>
</ds:datastoreItem>
</file>

<file path=customXml/itemProps4.xml><?xml version="1.0" encoding="utf-8"?>
<ds:datastoreItem xmlns:ds="http://schemas.openxmlformats.org/officeDocument/2006/customXml" ds:itemID="{F4E3C05F-09DE-4F50-B292-A0B0BFBE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Howard Pratt</dc:creator>
  <cp:lastModifiedBy>James Wake</cp:lastModifiedBy>
  <cp:revision>2</cp:revision>
  <cp:lastPrinted>2017-10-20T01:51:00Z</cp:lastPrinted>
  <dcterms:created xsi:type="dcterms:W3CDTF">2021-04-14T00:07:00Z</dcterms:created>
  <dcterms:modified xsi:type="dcterms:W3CDTF">2021-04-14T00:07:00Z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