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E99E0" w14:textId="77777777" w:rsidR="00735ECC" w:rsidRPr="00735ECC" w:rsidRDefault="00735ECC" w:rsidP="00735ECC">
      <w:pPr>
        <w:spacing w:line="240" w:lineRule="auto"/>
        <w:rPr>
          <w:sz w:val="2"/>
          <w:szCs w:val="2"/>
        </w:rPr>
      </w:pPr>
    </w:p>
    <w:p w14:paraId="1C3D5475" w14:textId="77777777" w:rsidR="004E01D3" w:rsidRDefault="00582B2A" w:rsidP="00D6750F">
      <w:pPr>
        <w:pStyle w:val="AppendixTop"/>
      </w:pPr>
      <w:r>
        <w:t>Appendix </w:t>
      </w:r>
      <w:r w:rsidR="00E15AD6">
        <w:t>2</w:t>
      </w:r>
    </w:p>
    <w:p w14:paraId="77DDC226" w14:textId="55B6F47F" w:rsidR="004E01D3" w:rsidRDefault="004E01D3" w:rsidP="00D6750F">
      <w:pPr>
        <w:pStyle w:val="AppendixRef"/>
      </w:pPr>
      <w:r>
        <w:t>(</w:t>
      </w:r>
      <w:r w:rsidR="00582B2A">
        <w:t>Ref: Para. </w:t>
      </w:r>
      <w:r w:rsidR="00C12913">
        <w:fldChar w:fldCharType="begin"/>
      </w:r>
      <w:r w:rsidR="00C12913">
        <w:instrText xml:space="preserve"> REF _Ref486514336 \r \h </w:instrText>
      </w:r>
      <w:r w:rsidR="00C12913">
        <w:fldChar w:fldCharType="separate"/>
      </w:r>
      <w:r w:rsidR="008254E6">
        <w:t>A150</w:t>
      </w:r>
      <w:r w:rsidR="00C12913">
        <w:fldChar w:fldCharType="end"/>
      </w:r>
      <w:r>
        <w:t>)</w:t>
      </w:r>
    </w:p>
    <w:p w14:paraId="116E2E1C" w14:textId="77777777" w:rsidR="00884669" w:rsidRPr="00884669" w:rsidRDefault="00884669" w:rsidP="003D549C">
      <w:pPr>
        <w:pStyle w:val="Heading5"/>
      </w:pPr>
      <w:r w:rsidRPr="00884669">
        <w:t xml:space="preserve">Illustrative </w:t>
      </w:r>
      <w:r w:rsidR="00C35FB0">
        <w:t>Assurance practitioner</w:t>
      </w:r>
      <w:r w:rsidRPr="00884669">
        <w:t xml:space="preserve">s’ Review Reports </w:t>
      </w:r>
    </w:p>
    <w:p w14:paraId="4AEB96DA" w14:textId="77777777" w:rsidR="00884669" w:rsidRPr="00884669" w:rsidRDefault="00884669" w:rsidP="003D549C">
      <w:pPr>
        <w:pStyle w:val="Heading6"/>
      </w:pPr>
      <w:r w:rsidRPr="00884669">
        <w:t xml:space="preserve">Review Reports on General Purpose Financial Statements </w:t>
      </w:r>
    </w:p>
    <w:p w14:paraId="4B070941" w14:textId="77777777" w:rsidR="00884669" w:rsidRPr="00884669" w:rsidRDefault="00884669" w:rsidP="003D549C">
      <w:pPr>
        <w:pStyle w:val="Heading7"/>
      </w:pPr>
      <w:r w:rsidRPr="00884669">
        <w:t xml:space="preserve">Illustrative Review Reports with Unmodified Conclusions </w:t>
      </w:r>
    </w:p>
    <w:p w14:paraId="67FAD735" w14:textId="77777777" w:rsidR="00884669" w:rsidRPr="00884669" w:rsidRDefault="00884669" w:rsidP="008E533B">
      <w:pPr>
        <w:pStyle w:val="ListBullet"/>
        <w:ind w:left="2268" w:hanging="2268"/>
      </w:pPr>
      <w:r w:rsidRPr="00884669">
        <w:t xml:space="preserve">Illustration 1: </w:t>
      </w:r>
      <w:r w:rsidR="003D549C">
        <w:tab/>
      </w:r>
      <w:r w:rsidRPr="00884669">
        <w:t xml:space="preserve">A </w:t>
      </w:r>
      <w:r w:rsidR="00C35FB0">
        <w:t>assurance practitioner</w:t>
      </w:r>
      <w:r w:rsidRPr="00884669">
        <w:t xml:space="preserve">’s report on financial statements prepared in accordance with a fair presentation framework designed to meet the common financial information needs of a wide range of users (for example, the  </w:t>
      </w:r>
      <w:r w:rsidR="004C04CA">
        <w:t>Australian Accounting</w:t>
      </w:r>
      <w:r w:rsidRPr="00884669">
        <w:t xml:space="preserve"> Standard</w:t>
      </w:r>
      <w:r w:rsidR="004C04CA">
        <w:t>s</w:t>
      </w:r>
      <w:r w:rsidRPr="00884669">
        <w:t xml:space="preserve"> for Small and Mediu</w:t>
      </w:r>
      <w:r w:rsidR="00582B2A" w:rsidRPr="00884669">
        <w:t>m</w:t>
      </w:r>
      <w:r w:rsidR="00582B2A">
        <w:noBreakHyphen/>
      </w:r>
      <w:r w:rsidR="00582B2A" w:rsidRPr="00884669">
        <w:t>s</w:t>
      </w:r>
      <w:r w:rsidRPr="00884669">
        <w:t xml:space="preserve">ized Entities). </w:t>
      </w:r>
    </w:p>
    <w:p w14:paraId="1D1EE8DE" w14:textId="77777777" w:rsidR="00884669" w:rsidRPr="00884669" w:rsidRDefault="00884669" w:rsidP="003D549C">
      <w:pPr>
        <w:pStyle w:val="Heading7"/>
      </w:pPr>
      <w:r w:rsidRPr="00884669">
        <w:t xml:space="preserve">Illustrative Review Reports with Modified Conclusions </w:t>
      </w:r>
    </w:p>
    <w:p w14:paraId="45D8539B" w14:textId="77777777" w:rsidR="00884669" w:rsidRPr="00884669" w:rsidRDefault="00884669" w:rsidP="008E533B">
      <w:pPr>
        <w:pStyle w:val="ListBullet"/>
        <w:ind w:left="2268" w:hanging="2268"/>
      </w:pPr>
      <w:r w:rsidRPr="00884669">
        <w:t xml:space="preserve">Illustration 2: </w:t>
      </w:r>
      <w:r w:rsidR="003D549C">
        <w:tab/>
      </w:r>
      <w:r w:rsidRPr="00884669">
        <w:t xml:space="preserve">A </w:t>
      </w:r>
      <w:r w:rsidR="00C35FB0">
        <w:t>assurance practitioner</w:t>
      </w:r>
      <w:r w:rsidRPr="00884669">
        <w:t xml:space="preserve">’s report containing a qualified conclusion due to an apparent material misstatement of the financial statements. </w:t>
      </w:r>
      <w:r w:rsidR="00754FCB">
        <w:t xml:space="preserve"> </w:t>
      </w:r>
      <w:r w:rsidRPr="00884669">
        <w:t xml:space="preserve">Financial statements prepared in accordance with a compliance framework designed to meet the common information needs of a wide range of users. (Financial statements prepared using a compliance framework) </w:t>
      </w:r>
    </w:p>
    <w:p w14:paraId="170C3BAD" w14:textId="77777777" w:rsidR="00884669" w:rsidRPr="00884669" w:rsidRDefault="00884669" w:rsidP="008E533B">
      <w:pPr>
        <w:pStyle w:val="ListBullet"/>
        <w:ind w:left="2268" w:hanging="2268"/>
      </w:pPr>
      <w:r w:rsidRPr="00884669">
        <w:t xml:space="preserve">Illustration 3: </w:t>
      </w:r>
      <w:r w:rsidR="003D549C">
        <w:tab/>
      </w:r>
      <w:r w:rsidRPr="00884669">
        <w:t xml:space="preserve">A </w:t>
      </w:r>
      <w:r w:rsidR="00C35FB0">
        <w:t>assurance practitioner</w:t>
      </w:r>
      <w:r w:rsidRPr="00884669">
        <w:t xml:space="preserve">’s report containing a qualified conclusion due to the </w:t>
      </w:r>
      <w:r w:rsidR="00C35FB0">
        <w:t>assurance practitioner</w:t>
      </w:r>
      <w:r w:rsidRPr="00884669">
        <w:t>’s inability to obtain sufficient appropriate evidence. (Financial statements prepared using a fair presentation framework</w:t>
      </w:r>
      <w:r w:rsidR="003D549C">
        <w:t>—</w:t>
      </w:r>
      <w:r w:rsidRPr="00884669">
        <w:t xml:space="preserve">IFRSs) </w:t>
      </w:r>
    </w:p>
    <w:p w14:paraId="4B5A1192" w14:textId="77777777" w:rsidR="00884669" w:rsidRPr="00884669" w:rsidRDefault="00884669" w:rsidP="008E533B">
      <w:pPr>
        <w:pStyle w:val="ListBullet"/>
        <w:ind w:left="2268" w:hanging="2268"/>
      </w:pPr>
      <w:r w:rsidRPr="00884669">
        <w:t xml:space="preserve">Illustration 4: </w:t>
      </w:r>
      <w:r w:rsidR="003D549C">
        <w:tab/>
      </w:r>
      <w:r w:rsidRPr="00884669">
        <w:t xml:space="preserve">A </w:t>
      </w:r>
      <w:r w:rsidR="00C35FB0">
        <w:t>assurance practitioner</w:t>
      </w:r>
      <w:r w:rsidRPr="00884669">
        <w:t xml:space="preserve">’s report containing an adverse conclusion due to material misstatement of the financial statements. </w:t>
      </w:r>
      <w:r w:rsidR="00754FCB">
        <w:t xml:space="preserve"> </w:t>
      </w:r>
      <w:r w:rsidRPr="00884669">
        <w:t>(Financial statements prepared using a fair presentation framework</w:t>
      </w:r>
      <w:r w:rsidR="003D549C" w:rsidRPr="003D549C">
        <w:t>—</w:t>
      </w:r>
      <w:r w:rsidRPr="00884669">
        <w:t xml:space="preserve">IFRSs) </w:t>
      </w:r>
    </w:p>
    <w:p w14:paraId="5960F0F1" w14:textId="77777777" w:rsidR="00884669" w:rsidRPr="00884669" w:rsidRDefault="00884669" w:rsidP="008E533B">
      <w:pPr>
        <w:pStyle w:val="ListBullet"/>
        <w:ind w:left="2268" w:hanging="2268"/>
      </w:pPr>
      <w:r w:rsidRPr="00884669">
        <w:t xml:space="preserve">Illustration 5: </w:t>
      </w:r>
      <w:r w:rsidR="003D549C">
        <w:tab/>
      </w:r>
      <w:r w:rsidRPr="00884669">
        <w:t xml:space="preserve">A </w:t>
      </w:r>
      <w:r w:rsidR="00C35FB0">
        <w:t>assurance practitioner</w:t>
      </w:r>
      <w:r w:rsidRPr="00884669">
        <w:t xml:space="preserve">’s report containing a disclaimer of conclusion due to the </w:t>
      </w:r>
      <w:r w:rsidR="00C35FB0">
        <w:t>assurance practitioner</w:t>
      </w:r>
      <w:r w:rsidRPr="00884669">
        <w:t>’s inability to obtain sufficient appropriate evidence about multiple elements of the financial statements</w:t>
      </w:r>
      <w:r w:rsidR="003D549C">
        <w:t xml:space="preserve"> </w:t>
      </w:r>
      <w:r w:rsidRPr="00884669">
        <w:t>resulting in inability to complete the review.</w:t>
      </w:r>
      <w:r w:rsidR="00754FCB">
        <w:t xml:space="preserve"> </w:t>
      </w:r>
      <w:r w:rsidRPr="00884669">
        <w:t xml:space="preserve"> (Financial statements prepared using a fair presentation framework</w:t>
      </w:r>
      <w:r w:rsidR="003D549C" w:rsidRPr="003D549C">
        <w:t>—</w:t>
      </w:r>
      <w:r w:rsidRPr="00884669">
        <w:t xml:space="preserve">IFRSs) </w:t>
      </w:r>
    </w:p>
    <w:p w14:paraId="770844C2" w14:textId="77777777" w:rsidR="00884669" w:rsidRPr="00884669" w:rsidRDefault="00884669" w:rsidP="003D549C">
      <w:pPr>
        <w:pStyle w:val="Heading6"/>
      </w:pPr>
      <w:r w:rsidRPr="00884669">
        <w:t xml:space="preserve">Review Report on Special Purpose Financial Statements </w:t>
      </w:r>
    </w:p>
    <w:p w14:paraId="1342C64F" w14:textId="77777777" w:rsidR="00884669" w:rsidRDefault="00884669" w:rsidP="009F626B">
      <w:pPr>
        <w:pStyle w:val="ListBullet"/>
        <w:ind w:left="2268" w:hanging="2268"/>
      </w:pPr>
      <w:r w:rsidRPr="00884669">
        <w:t xml:space="preserve">Illustration 6: </w:t>
      </w:r>
      <w:r w:rsidR="003D549C">
        <w:tab/>
      </w:r>
      <w:r w:rsidRPr="00884669">
        <w:t xml:space="preserve">A </w:t>
      </w:r>
      <w:r w:rsidR="00C35FB0">
        <w:t>assurance practitioner</w:t>
      </w:r>
      <w:r w:rsidRPr="00884669">
        <w:t xml:space="preserve">’s report on financial statements prepared in accordance with the financial reporting provisions of a contract (for purposes of this illustration, a compliance framework). </w:t>
      </w:r>
      <w:r>
        <w:br w:type="page"/>
      </w:r>
    </w:p>
    <w:tbl>
      <w:tblPr>
        <w:tblW w:w="0" w:type="auto"/>
        <w:tblBorders>
          <w:top w:val="nil"/>
          <w:left w:val="nil"/>
          <w:bottom w:val="nil"/>
          <w:right w:val="nil"/>
        </w:tblBorders>
        <w:tblLayout w:type="fixed"/>
        <w:tblLook w:val="0000" w:firstRow="0" w:lastRow="0" w:firstColumn="0" w:lastColumn="0" w:noHBand="0" w:noVBand="0"/>
        <w:tblCaption w:val="Illustrative Assurance practitioners’ Review Reports "/>
        <w:tblDescription w:val="Illustration 1"/>
      </w:tblPr>
      <w:tblGrid>
        <w:gridCol w:w="9154"/>
      </w:tblGrid>
      <w:tr w:rsidR="00884669" w:rsidRPr="00884669" w14:paraId="237964B7" w14:textId="77777777" w:rsidTr="007977C0">
        <w:trPr>
          <w:trHeight w:val="1653"/>
        </w:trPr>
        <w:tc>
          <w:tcPr>
            <w:tcW w:w="9154" w:type="dxa"/>
            <w:tcBorders>
              <w:top w:val="single" w:sz="4" w:space="0" w:color="auto"/>
              <w:left w:val="single" w:sz="4" w:space="0" w:color="auto"/>
              <w:bottom w:val="single" w:sz="4" w:space="0" w:color="auto"/>
              <w:right w:val="single" w:sz="4" w:space="0" w:color="auto"/>
            </w:tcBorders>
          </w:tcPr>
          <w:p w14:paraId="03BE73AF" w14:textId="77777777" w:rsidR="00884669" w:rsidRPr="007977C0" w:rsidRDefault="00884669" w:rsidP="007977C0">
            <w:pPr>
              <w:pStyle w:val="ParaPlain"/>
              <w:spacing w:before="120"/>
              <w:rPr>
                <w:b/>
                <w:u w:val="single"/>
              </w:rPr>
            </w:pPr>
            <w:r w:rsidRPr="007977C0">
              <w:rPr>
                <w:b/>
                <w:u w:val="single"/>
              </w:rPr>
              <w:lastRenderedPageBreak/>
              <w:t xml:space="preserve">Illustration 1 </w:t>
            </w:r>
          </w:p>
          <w:p w14:paraId="3C68AFC8" w14:textId="77777777" w:rsidR="00884669" w:rsidRPr="007977C0" w:rsidRDefault="00884669" w:rsidP="007977C0">
            <w:pPr>
              <w:pStyle w:val="ParaPlain"/>
              <w:rPr>
                <w:b/>
              </w:rPr>
            </w:pPr>
            <w:r w:rsidRPr="007977C0">
              <w:rPr>
                <w:b/>
              </w:rPr>
              <w:t xml:space="preserve">Circumstances include the following: </w:t>
            </w:r>
          </w:p>
          <w:p w14:paraId="172C4FC5" w14:textId="77777777" w:rsidR="00884669" w:rsidRPr="007977C0" w:rsidRDefault="00884669" w:rsidP="007977C0">
            <w:pPr>
              <w:pStyle w:val="ListBullet"/>
              <w:tabs>
                <w:tab w:val="clear" w:pos="709"/>
                <w:tab w:val="num" w:pos="567"/>
              </w:tabs>
              <w:ind w:left="567" w:hanging="567"/>
              <w:rPr>
                <w:b/>
              </w:rPr>
            </w:pPr>
            <w:r w:rsidRPr="007977C0">
              <w:rPr>
                <w:b/>
              </w:rPr>
              <w:t xml:space="preserve">Review of a complete set of financial statements. </w:t>
            </w:r>
          </w:p>
          <w:p w14:paraId="19FCF051" w14:textId="77777777" w:rsidR="00884669" w:rsidRPr="007977C0" w:rsidRDefault="00884669" w:rsidP="007977C0">
            <w:pPr>
              <w:pStyle w:val="ListBullet"/>
              <w:tabs>
                <w:tab w:val="clear" w:pos="709"/>
                <w:tab w:val="num" w:pos="567"/>
              </w:tabs>
              <w:ind w:left="567" w:hanging="567"/>
              <w:rPr>
                <w:b/>
              </w:rPr>
            </w:pPr>
            <w:r w:rsidRPr="007977C0">
              <w:rPr>
                <w:b/>
              </w:rPr>
              <w:t xml:space="preserve">The financial statements are prepared for a general purpose by management of the entity in accordance with the </w:t>
            </w:r>
            <w:r w:rsidR="00614675">
              <w:rPr>
                <w:b/>
              </w:rPr>
              <w:t>Australian</w:t>
            </w:r>
            <w:r w:rsidRPr="007977C0">
              <w:rPr>
                <w:b/>
              </w:rPr>
              <w:t xml:space="preserve"> </w:t>
            </w:r>
            <w:r w:rsidR="004C04CA">
              <w:rPr>
                <w:b/>
              </w:rPr>
              <w:t xml:space="preserve">Accounting </w:t>
            </w:r>
            <w:r w:rsidRPr="007977C0">
              <w:rPr>
                <w:b/>
              </w:rPr>
              <w:t>Standard</w:t>
            </w:r>
            <w:r w:rsidR="004C04CA">
              <w:rPr>
                <w:b/>
              </w:rPr>
              <w:t>s</w:t>
            </w:r>
            <w:r w:rsidRPr="007977C0">
              <w:rPr>
                <w:b/>
              </w:rPr>
              <w:t xml:space="preserve">. </w:t>
            </w:r>
          </w:p>
          <w:p w14:paraId="179C0C4D" w14:textId="77777777" w:rsidR="00884669" w:rsidRPr="007977C0" w:rsidRDefault="00884669" w:rsidP="007977C0">
            <w:pPr>
              <w:pStyle w:val="ListBullet"/>
              <w:tabs>
                <w:tab w:val="clear" w:pos="709"/>
                <w:tab w:val="num" w:pos="567"/>
              </w:tabs>
              <w:ind w:left="567" w:hanging="567"/>
              <w:rPr>
                <w:b/>
              </w:rPr>
            </w:pPr>
            <w:r w:rsidRPr="007977C0">
              <w:rPr>
                <w:b/>
              </w:rPr>
              <w:t xml:space="preserve">The terms of the review engagement reflect the description of management’s responsibility for the financial statements in </w:t>
            </w:r>
            <w:r w:rsidR="00582B2A" w:rsidRPr="007977C0">
              <w:rPr>
                <w:b/>
              </w:rPr>
              <w:t>paragraph</w:t>
            </w:r>
            <w:r w:rsidR="00582B2A">
              <w:rPr>
                <w:b/>
              </w:rPr>
              <w:t> </w:t>
            </w:r>
            <w:r w:rsidR="00582B2A" w:rsidRPr="007977C0">
              <w:rPr>
                <w:b/>
              </w:rPr>
              <w:t>3</w:t>
            </w:r>
            <w:r w:rsidRPr="007977C0">
              <w:rPr>
                <w:b/>
              </w:rPr>
              <w:t xml:space="preserve">0(b) of this </w:t>
            </w:r>
            <w:r w:rsidR="006A62E2">
              <w:rPr>
                <w:b/>
              </w:rPr>
              <w:t>ASRE</w:t>
            </w:r>
            <w:r w:rsidRPr="007977C0">
              <w:rPr>
                <w:b/>
              </w:rPr>
              <w:t xml:space="preserve">. </w:t>
            </w:r>
          </w:p>
          <w:p w14:paraId="58909447" w14:textId="77777777" w:rsidR="00884669" w:rsidRDefault="00884669" w:rsidP="007977C0">
            <w:pPr>
              <w:pStyle w:val="ListBullet"/>
              <w:tabs>
                <w:tab w:val="clear" w:pos="709"/>
                <w:tab w:val="num" w:pos="567"/>
              </w:tabs>
              <w:spacing w:after="0"/>
              <w:ind w:left="567" w:hanging="567"/>
              <w:rPr>
                <w:b/>
              </w:rPr>
            </w:pPr>
            <w:r w:rsidRPr="007977C0">
              <w:rPr>
                <w:b/>
              </w:rPr>
              <w:t xml:space="preserve">In addition to the review of the financial statements, the </w:t>
            </w:r>
            <w:r w:rsidR="00C35FB0">
              <w:rPr>
                <w:b/>
              </w:rPr>
              <w:t>assurance practitioner</w:t>
            </w:r>
            <w:r w:rsidRPr="007977C0">
              <w:rPr>
                <w:b/>
              </w:rPr>
              <w:t xml:space="preserve"> has other reporting responsibilities under local law. </w:t>
            </w:r>
          </w:p>
          <w:p w14:paraId="3D954B60" w14:textId="77777777" w:rsidR="00884669" w:rsidRPr="00884669" w:rsidRDefault="00884669" w:rsidP="00884669"/>
        </w:tc>
      </w:tr>
    </w:tbl>
    <w:p w14:paraId="031974DC" w14:textId="77777777" w:rsidR="00884669" w:rsidRPr="00884669" w:rsidRDefault="00884669" w:rsidP="00171A1D">
      <w:pPr>
        <w:pStyle w:val="ParaPlain"/>
        <w:spacing w:before="240"/>
      </w:pPr>
      <w:r w:rsidRPr="00884669">
        <w:t xml:space="preserve">INDEPENDENT </w:t>
      </w:r>
      <w:r w:rsidR="00C35FB0">
        <w:t>ASSURANCE PRACTITIONER</w:t>
      </w:r>
      <w:r w:rsidRPr="00884669">
        <w:t xml:space="preserve">’S REVIEW REPORT </w:t>
      </w:r>
    </w:p>
    <w:p w14:paraId="02A4CE21" w14:textId="77777777" w:rsidR="00884669" w:rsidRPr="00884669" w:rsidRDefault="00884669" w:rsidP="007977C0">
      <w:pPr>
        <w:pStyle w:val="ParaPlain"/>
      </w:pPr>
      <w:r w:rsidRPr="00884669">
        <w:t xml:space="preserve">[Appropriate Addressee] </w:t>
      </w:r>
    </w:p>
    <w:p w14:paraId="07846FEE" w14:textId="77777777" w:rsidR="00884669" w:rsidRPr="00884669" w:rsidRDefault="00884669" w:rsidP="007977C0">
      <w:pPr>
        <w:pStyle w:val="Heading6"/>
      </w:pPr>
      <w:r w:rsidRPr="00884669">
        <w:t>Report on the Financial Statements</w:t>
      </w:r>
      <w:r w:rsidR="00796F9D">
        <w:rPr>
          <w:rStyle w:val="FootnoteReference"/>
        </w:rPr>
        <w:footnoteReference w:id="1"/>
      </w:r>
      <w:r w:rsidRPr="00884669">
        <w:t xml:space="preserve"> </w:t>
      </w:r>
    </w:p>
    <w:p w14:paraId="7EC6C0D0" w14:textId="77777777" w:rsidR="00884669" w:rsidRPr="00884669" w:rsidRDefault="00884669" w:rsidP="007977C0">
      <w:pPr>
        <w:pStyle w:val="ParaPlain"/>
      </w:pPr>
      <w:r w:rsidRPr="00884669">
        <w:t xml:space="preserve">We have reviewed the accompanying financial statements of ABC Company, which comprise the statement of financial position as at December 31, 20X1, and the statement of comprehensive income, statement of changes in equity and statement of cash flows for the year then ended, and a summary of significant accounting policies and other explanatory information. </w:t>
      </w:r>
    </w:p>
    <w:p w14:paraId="29DFEF75" w14:textId="77777777" w:rsidR="00884669" w:rsidRPr="00884669" w:rsidRDefault="00884669" w:rsidP="007977C0">
      <w:pPr>
        <w:pStyle w:val="Heading7"/>
      </w:pPr>
      <w:r w:rsidRPr="00884669">
        <w:t>Management’s</w:t>
      </w:r>
      <w:r w:rsidR="00796F9D" w:rsidRPr="00796F9D">
        <w:rPr>
          <w:rStyle w:val="FootnoteReference"/>
          <w:i w:val="0"/>
        </w:rPr>
        <w:footnoteReference w:id="2"/>
      </w:r>
      <w:r w:rsidRPr="00796F9D">
        <w:rPr>
          <w:i w:val="0"/>
        </w:rPr>
        <w:t xml:space="preserve"> </w:t>
      </w:r>
      <w:r w:rsidRPr="00884669">
        <w:t xml:space="preserve">Responsibility for the Financial Statements </w:t>
      </w:r>
    </w:p>
    <w:p w14:paraId="0EF22191" w14:textId="77777777" w:rsidR="00884669" w:rsidRDefault="00884669" w:rsidP="007977C0">
      <w:pPr>
        <w:pStyle w:val="ParaPlain"/>
      </w:pPr>
      <w:r w:rsidRPr="00884669">
        <w:t xml:space="preserve">Management is responsible for the preparation and fair presentation of these financial statements in accordance with the </w:t>
      </w:r>
      <w:r w:rsidR="00614675">
        <w:t>Australian</w:t>
      </w:r>
      <w:r w:rsidRPr="00884669">
        <w:t xml:space="preserve"> </w:t>
      </w:r>
      <w:r w:rsidR="004C04CA">
        <w:t xml:space="preserve">Accounting </w:t>
      </w:r>
      <w:r w:rsidRPr="00884669">
        <w:t>Standard</w:t>
      </w:r>
      <w:r w:rsidR="004C04CA">
        <w:t>s</w:t>
      </w:r>
      <w:r w:rsidRPr="00884669">
        <w:t>,</w:t>
      </w:r>
      <w:r w:rsidR="00796F9D">
        <w:rPr>
          <w:rStyle w:val="FootnoteReference"/>
        </w:rPr>
        <w:footnoteReference w:id="3"/>
      </w:r>
      <w:r w:rsidRPr="00884669">
        <w:t xml:space="preserve"> and for such internal control as management determines is necessary to enable the preparation of financial statements that are free from material misstatement, whether due to fraud or error.</w:t>
      </w:r>
    </w:p>
    <w:p w14:paraId="79FE64C8" w14:textId="77777777" w:rsidR="008879DB" w:rsidRPr="008879DB" w:rsidRDefault="00C35FB0" w:rsidP="007977C0">
      <w:pPr>
        <w:pStyle w:val="Heading7"/>
      </w:pPr>
      <w:r>
        <w:t>Assurance practitioner</w:t>
      </w:r>
      <w:r w:rsidR="008879DB" w:rsidRPr="008879DB">
        <w:t xml:space="preserve">’s Responsibility </w:t>
      </w:r>
    </w:p>
    <w:p w14:paraId="2F6D33D5" w14:textId="77777777" w:rsidR="008879DB" w:rsidRPr="008879DB" w:rsidRDefault="008879DB" w:rsidP="007977C0">
      <w:pPr>
        <w:pStyle w:val="ParaPlain"/>
      </w:pPr>
      <w:r w:rsidRPr="008879DB">
        <w:t xml:space="preserve">Our responsibility is to express a conclusion on the accompanying financial statements. </w:t>
      </w:r>
      <w:r w:rsidR="00754FCB">
        <w:t xml:space="preserve"> </w:t>
      </w:r>
      <w:r w:rsidRPr="008879DB">
        <w:t xml:space="preserve">We conducted our review in accordance with Standard on Review Engagements </w:t>
      </w:r>
      <w:r w:rsidR="006A62E2">
        <w:t>ASRE</w:t>
      </w:r>
      <w:r w:rsidRPr="008879DB">
        <w:t xml:space="preserve"> 2400, </w:t>
      </w:r>
      <w:r w:rsidR="004C04CA" w:rsidRPr="004C04CA">
        <w:rPr>
          <w:i/>
        </w:rPr>
        <w:t>Revie</w:t>
      </w:r>
      <w:r w:rsidR="004C04CA">
        <w:rPr>
          <w:i/>
        </w:rPr>
        <w:t>w of a Financial Report Performed by an Assurance Practitioner Who is not the Auditor of the Entity</w:t>
      </w:r>
      <w:r w:rsidRPr="008879DB">
        <w:t xml:space="preserve">. </w:t>
      </w:r>
      <w:r w:rsidR="00754FCB">
        <w:t xml:space="preserve"> </w:t>
      </w:r>
      <w:r w:rsidR="00582B2A">
        <w:t>ASRE </w:t>
      </w:r>
      <w:r w:rsidR="00582B2A" w:rsidRPr="008879DB">
        <w:t>2</w:t>
      </w:r>
      <w:r w:rsidRPr="008879DB">
        <w:t xml:space="preserve">400  requires us to conclude whether anything has come to our attention that causes us to believe that the financial statements, taken as a whole, are not prepared in all material respects in accordance with the applicable financial reporting framework. </w:t>
      </w:r>
      <w:r w:rsidR="00754FCB">
        <w:t xml:space="preserve"> </w:t>
      </w:r>
      <w:r w:rsidRPr="008879DB">
        <w:t xml:space="preserve">This Standard also requires us to comply with relevant ethical requirements. </w:t>
      </w:r>
    </w:p>
    <w:p w14:paraId="0B6A50DE" w14:textId="77777777" w:rsidR="008879DB" w:rsidRPr="008879DB" w:rsidRDefault="008879DB" w:rsidP="007977C0">
      <w:pPr>
        <w:pStyle w:val="ParaPlain"/>
      </w:pPr>
      <w:r w:rsidRPr="008879DB">
        <w:t xml:space="preserve">A review of financial statements in accordance with </w:t>
      </w:r>
      <w:r w:rsidR="00582B2A">
        <w:t>ASRE </w:t>
      </w:r>
      <w:r w:rsidR="00582B2A" w:rsidRPr="008879DB">
        <w:t>2</w:t>
      </w:r>
      <w:r w:rsidRPr="008879DB">
        <w:t xml:space="preserve">400 is a limited assurance engagement. The </w:t>
      </w:r>
      <w:r w:rsidR="00C35FB0">
        <w:t>assurance practitioner</w:t>
      </w:r>
      <w:r w:rsidRPr="008879DB">
        <w:t xml:space="preserve"> performs procedures, primarily consisting of making </w:t>
      </w:r>
      <w:r w:rsidR="00614675">
        <w:t>enquiries</w:t>
      </w:r>
      <w:r w:rsidRPr="008879DB">
        <w:t xml:space="preserve"> of management and others within the entity, as appropriate, and applying analytical procedures, and evaluates the evidence obtained. </w:t>
      </w:r>
    </w:p>
    <w:p w14:paraId="08AD0A00" w14:textId="77777777" w:rsidR="00884669" w:rsidRDefault="008879DB" w:rsidP="00F82281">
      <w:pPr>
        <w:pStyle w:val="ParaPlain"/>
      </w:pPr>
      <w:r w:rsidRPr="008879DB">
        <w:lastRenderedPageBreak/>
        <w:t xml:space="preserve">The procedures performed in a review are substantially less than those performed in an audit conducted in accordance with </w:t>
      </w:r>
      <w:r w:rsidR="00614675">
        <w:t>Australian</w:t>
      </w:r>
      <w:r w:rsidRPr="008879DB">
        <w:t xml:space="preserve"> </w:t>
      </w:r>
      <w:r w:rsidR="004C04CA">
        <w:t xml:space="preserve">Auditing </w:t>
      </w:r>
      <w:r w:rsidRPr="008879DB">
        <w:t xml:space="preserve">Standards. </w:t>
      </w:r>
      <w:r w:rsidR="008D6B59">
        <w:t xml:space="preserve"> </w:t>
      </w:r>
      <w:r w:rsidRPr="008879DB">
        <w:t>Accordingly, we do not express an audit opinion on these financial statements.</w:t>
      </w:r>
    </w:p>
    <w:p w14:paraId="71656210" w14:textId="77777777" w:rsidR="008879DB" w:rsidRPr="008879DB" w:rsidRDefault="008879DB" w:rsidP="007977C0">
      <w:pPr>
        <w:pStyle w:val="Heading7"/>
      </w:pPr>
      <w:r w:rsidRPr="008879DB">
        <w:t xml:space="preserve">Conclusion </w:t>
      </w:r>
    </w:p>
    <w:p w14:paraId="596FE544" w14:textId="77777777" w:rsidR="008879DB" w:rsidRPr="008879DB" w:rsidRDefault="008879DB" w:rsidP="007977C0">
      <w:pPr>
        <w:pStyle w:val="ParaPlain"/>
      </w:pPr>
      <w:r w:rsidRPr="008879DB">
        <w:t xml:space="preserve">Based on our review, nothing has come to our attention that causes us to believe that these financial statements do not present fairly, in all material respects, (or </w:t>
      </w:r>
      <w:r w:rsidRPr="008879DB">
        <w:rPr>
          <w:i/>
          <w:iCs/>
        </w:rPr>
        <w:t>do not give a true and fair view of</w:t>
      </w:r>
      <w:r w:rsidRPr="009944AC">
        <w:rPr>
          <w:iCs/>
        </w:rPr>
        <w:t>)</w:t>
      </w:r>
      <w:r w:rsidRPr="008879DB">
        <w:rPr>
          <w:i/>
          <w:iCs/>
        </w:rPr>
        <w:t xml:space="preserve"> </w:t>
      </w:r>
      <w:r w:rsidRPr="008879DB">
        <w:t xml:space="preserve">the financial position of ABC Company as at </w:t>
      </w:r>
      <w:r w:rsidR="004C04CA">
        <w:t xml:space="preserve">31 </w:t>
      </w:r>
      <w:r w:rsidRPr="008879DB">
        <w:t>December , 20X1, and (</w:t>
      </w:r>
      <w:r w:rsidRPr="008879DB">
        <w:rPr>
          <w:i/>
          <w:iCs/>
        </w:rPr>
        <w:t>of</w:t>
      </w:r>
      <w:r w:rsidRPr="00FC7308">
        <w:rPr>
          <w:iCs/>
        </w:rPr>
        <w:t>)</w:t>
      </w:r>
      <w:r w:rsidRPr="008879DB">
        <w:rPr>
          <w:i/>
          <w:iCs/>
        </w:rPr>
        <w:t xml:space="preserve"> </w:t>
      </w:r>
      <w:r w:rsidRPr="008879DB">
        <w:t>its financial performance and</w:t>
      </w:r>
      <w:r w:rsidR="007977C0">
        <w:t xml:space="preserve"> </w:t>
      </w:r>
      <w:r w:rsidRPr="008879DB">
        <w:t xml:space="preserve">cash flows for the year then ended, in accordance with the </w:t>
      </w:r>
      <w:r w:rsidR="00614675">
        <w:t>Australian</w:t>
      </w:r>
      <w:r w:rsidRPr="008879DB">
        <w:t xml:space="preserve"> </w:t>
      </w:r>
      <w:r w:rsidR="004C04CA">
        <w:t xml:space="preserve">Accounting </w:t>
      </w:r>
      <w:r w:rsidRPr="008879DB">
        <w:t>Standard</w:t>
      </w:r>
      <w:r w:rsidR="004C04CA">
        <w:t>s</w:t>
      </w:r>
      <w:r w:rsidRPr="008879DB">
        <w:t xml:space="preserve">. </w:t>
      </w:r>
    </w:p>
    <w:p w14:paraId="34BB3972" w14:textId="77777777" w:rsidR="008879DB" w:rsidRPr="008879DB" w:rsidRDefault="008879DB" w:rsidP="007977C0">
      <w:pPr>
        <w:pStyle w:val="Heading6"/>
      </w:pPr>
      <w:r w:rsidRPr="008879DB">
        <w:t xml:space="preserve">Report on Other Legal and Regulatory Requirements </w:t>
      </w:r>
    </w:p>
    <w:p w14:paraId="0D9798CB" w14:textId="77777777" w:rsidR="008879DB" w:rsidRPr="008879DB" w:rsidRDefault="008879DB" w:rsidP="007977C0">
      <w:pPr>
        <w:pStyle w:val="ParaPlain"/>
      </w:pPr>
      <w:r w:rsidRPr="008879DB">
        <w:t xml:space="preserve">[Form and content of this section of the </w:t>
      </w:r>
      <w:r w:rsidR="00C35FB0">
        <w:t>assurance practitioner</w:t>
      </w:r>
      <w:r w:rsidRPr="008879DB">
        <w:t xml:space="preserve">’s report will vary depending on the nature of the </w:t>
      </w:r>
      <w:r w:rsidR="00C35FB0">
        <w:t>assurance practitioner</w:t>
      </w:r>
      <w:r w:rsidRPr="008879DB">
        <w:t xml:space="preserve">’s other reporting responsibilities.] </w:t>
      </w:r>
    </w:p>
    <w:p w14:paraId="0BCD5713" w14:textId="77777777" w:rsidR="008879DB" w:rsidRPr="008879DB" w:rsidRDefault="008879DB" w:rsidP="007977C0">
      <w:pPr>
        <w:pStyle w:val="ParaPlain"/>
      </w:pPr>
      <w:r w:rsidRPr="008879DB">
        <w:t>[</w:t>
      </w:r>
      <w:r w:rsidR="00C35FB0">
        <w:t>Assurance practitioner</w:t>
      </w:r>
      <w:r w:rsidR="00377BCA">
        <w:t>’s signature]</w:t>
      </w:r>
    </w:p>
    <w:p w14:paraId="5F9237A3" w14:textId="77777777" w:rsidR="008879DB" w:rsidRPr="008879DB" w:rsidRDefault="008879DB" w:rsidP="007977C0">
      <w:pPr>
        <w:pStyle w:val="ParaPlain"/>
      </w:pPr>
      <w:r w:rsidRPr="008879DB">
        <w:t xml:space="preserve">[Date of the </w:t>
      </w:r>
      <w:r w:rsidR="00C35FB0">
        <w:t>assurance practitioner</w:t>
      </w:r>
      <w:r w:rsidRPr="008879DB">
        <w:t>’s</w:t>
      </w:r>
      <w:r w:rsidR="00377BCA">
        <w:t xml:space="preserve"> report]</w:t>
      </w:r>
    </w:p>
    <w:p w14:paraId="076D49DA" w14:textId="77777777" w:rsidR="008879DB" w:rsidRDefault="008879DB" w:rsidP="00171A1D">
      <w:pPr>
        <w:pStyle w:val="ParaPlain"/>
      </w:pPr>
      <w:r w:rsidRPr="008879DB">
        <w:t>[</w:t>
      </w:r>
      <w:r w:rsidR="00C35FB0">
        <w:t>Assurance practitioner</w:t>
      </w:r>
      <w:r w:rsidRPr="008879DB">
        <w:t>’s address]</w:t>
      </w:r>
      <w:r>
        <w:br w:type="page"/>
      </w:r>
    </w:p>
    <w:tbl>
      <w:tblPr>
        <w:tblW w:w="0" w:type="auto"/>
        <w:tblBorders>
          <w:top w:val="nil"/>
          <w:left w:val="nil"/>
          <w:bottom w:val="nil"/>
          <w:right w:val="nil"/>
        </w:tblBorders>
        <w:tblLayout w:type="fixed"/>
        <w:tblLook w:val="0000" w:firstRow="0" w:lastRow="0" w:firstColumn="0" w:lastColumn="0" w:noHBand="0" w:noVBand="0"/>
        <w:tblCaption w:val="Illustrative Assurance practitioners’ Review Reports "/>
        <w:tblDescription w:val="Illustration 2"/>
      </w:tblPr>
      <w:tblGrid>
        <w:gridCol w:w="9153"/>
      </w:tblGrid>
      <w:tr w:rsidR="00B276D6" w:rsidRPr="00B276D6" w14:paraId="44AD976F" w14:textId="77777777" w:rsidTr="00342AEB">
        <w:trPr>
          <w:trHeight w:val="2273"/>
        </w:trPr>
        <w:tc>
          <w:tcPr>
            <w:tcW w:w="9153" w:type="dxa"/>
            <w:tcBorders>
              <w:top w:val="single" w:sz="4" w:space="0" w:color="auto"/>
              <w:left w:val="single" w:sz="4" w:space="0" w:color="auto"/>
              <w:bottom w:val="single" w:sz="4" w:space="0" w:color="auto"/>
              <w:right w:val="single" w:sz="4" w:space="0" w:color="auto"/>
            </w:tcBorders>
          </w:tcPr>
          <w:p w14:paraId="06B6D750" w14:textId="77777777" w:rsidR="00B276D6" w:rsidRPr="00342AEB" w:rsidRDefault="00B276D6" w:rsidP="00342AEB">
            <w:pPr>
              <w:pStyle w:val="ParaPlain"/>
              <w:spacing w:before="120"/>
              <w:rPr>
                <w:b/>
                <w:u w:val="single"/>
              </w:rPr>
            </w:pPr>
            <w:r w:rsidRPr="00342AEB">
              <w:rPr>
                <w:b/>
                <w:u w:val="single"/>
              </w:rPr>
              <w:lastRenderedPageBreak/>
              <w:t xml:space="preserve">Illustration 2 </w:t>
            </w:r>
          </w:p>
          <w:p w14:paraId="2F6EC47F" w14:textId="77777777" w:rsidR="00B276D6" w:rsidRPr="00342AEB" w:rsidRDefault="00B276D6" w:rsidP="00265A6E">
            <w:pPr>
              <w:pStyle w:val="ParaPlain"/>
              <w:rPr>
                <w:b/>
              </w:rPr>
            </w:pPr>
            <w:r w:rsidRPr="00342AEB">
              <w:rPr>
                <w:b/>
              </w:rPr>
              <w:t xml:space="preserve">Circumstances include the following: </w:t>
            </w:r>
          </w:p>
          <w:p w14:paraId="47750AF6" w14:textId="77777777" w:rsidR="00B276D6" w:rsidRPr="00342AEB" w:rsidRDefault="00B276D6" w:rsidP="00265A6E">
            <w:pPr>
              <w:pStyle w:val="ListBullet"/>
              <w:tabs>
                <w:tab w:val="clear" w:pos="709"/>
                <w:tab w:val="num" w:pos="567"/>
              </w:tabs>
              <w:ind w:left="567" w:hanging="567"/>
              <w:rPr>
                <w:b/>
              </w:rPr>
            </w:pPr>
            <w:r w:rsidRPr="00342AEB">
              <w:rPr>
                <w:b/>
              </w:rPr>
              <w:t xml:space="preserve">Review of a complete set of financial statements required by law or regulation. </w:t>
            </w:r>
          </w:p>
          <w:p w14:paraId="70325C80" w14:textId="77777777" w:rsidR="00B276D6" w:rsidRPr="00342AEB" w:rsidRDefault="00B276D6" w:rsidP="00265A6E">
            <w:pPr>
              <w:pStyle w:val="ListBullet"/>
              <w:tabs>
                <w:tab w:val="clear" w:pos="709"/>
                <w:tab w:val="num" w:pos="567"/>
              </w:tabs>
              <w:ind w:left="567" w:hanging="567"/>
              <w:rPr>
                <w:b/>
              </w:rPr>
            </w:pPr>
            <w:r w:rsidRPr="00342AEB">
              <w:rPr>
                <w:b/>
              </w:rPr>
              <w:t xml:space="preserve">The financial statements are prepared for a general purpose by management of the entity in accordance with the Financial Reporting Framework (XYZ Law) of Jurisdiction X (that is, a financial reporting framework, encompassing law or regulation, designed to meet the common financial information needs of a wide range of users, but which is not a fair presentation framework). </w:t>
            </w:r>
          </w:p>
          <w:p w14:paraId="5713923C" w14:textId="77777777" w:rsidR="00B276D6" w:rsidRPr="00342AEB" w:rsidRDefault="00B276D6" w:rsidP="00265A6E">
            <w:pPr>
              <w:pStyle w:val="ListBullet"/>
              <w:tabs>
                <w:tab w:val="clear" w:pos="709"/>
                <w:tab w:val="num" w:pos="567"/>
              </w:tabs>
              <w:ind w:left="567" w:hanging="567"/>
              <w:rPr>
                <w:b/>
              </w:rPr>
            </w:pPr>
            <w:r w:rsidRPr="00342AEB">
              <w:rPr>
                <w:b/>
              </w:rPr>
              <w:t xml:space="preserve">The terms of the review engagement reflect the description of management’s responsibility for the financial statements in </w:t>
            </w:r>
            <w:r w:rsidR="00582B2A" w:rsidRPr="00342AEB">
              <w:rPr>
                <w:b/>
              </w:rPr>
              <w:t>paragraph</w:t>
            </w:r>
            <w:r w:rsidR="00582B2A">
              <w:rPr>
                <w:b/>
              </w:rPr>
              <w:t> </w:t>
            </w:r>
            <w:r w:rsidR="00582B2A" w:rsidRPr="00342AEB">
              <w:rPr>
                <w:b/>
              </w:rPr>
              <w:t>3</w:t>
            </w:r>
            <w:r w:rsidRPr="00342AEB">
              <w:rPr>
                <w:b/>
              </w:rPr>
              <w:t xml:space="preserve">0(b) of this </w:t>
            </w:r>
            <w:r w:rsidR="006A62E2">
              <w:rPr>
                <w:b/>
              </w:rPr>
              <w:t>ASRE</w:t>
            </w:r>
            <w:r w:rsidRPr="00342AEB">
              <w:rPr>
                <w:b/>
              </w:rPr>
              <w:t xml:space="preserve">. </w:t>
            </w:r>
          </w:p>
          <w:p w14:paraId="24DDEBD4" w14:textId="77777777" w:rsidR="00B276D6" w:rsidRPr="00342AEB" w:rsidRDefault="00B276D6" w:rsidP="00265A6E">
            <w:pPr>
              <w:pStyle w:val="ListBullet"/>
              <w:tabs>
                <w:tab w:val="clear" w:pos="709"/>
                <w:tab w:val="num" w:pos="567"/>
              </w:tabs>
              <w:ind w:left="567" w:hanging="567"/>
              <w:rPr>
                <w:b/>
              </w:rPr>
            </w:pPr>
            <w:r w:rsidRPr="00342AEB">
              <w:rPr>
                <w:b/>
              </w:rPr>
              <w:t xml:space="preserve">Based on the review, inventories are misstated. The misstatement is material but not pervasive to the financial statements. </w:t>
            </w:r>
          </w:p>
          <w:p w14:paraId="70ACEA4C" w14:textId="77777777" w:rsidR="00265A6E" w:rsidRPr="00342AEB" w:rsidRDefault="00B276D6" w:rsidP="00265A6E">
            <w:pPr>
              <w:pStyle w:val="ListBullet"/>
              <w:tabs>
                <w:tab w:val="clear" w:pos="709"/>
                <w:tab w:val="num" w:pos="567"/>
              </w:tabs>
              <w:ind w:left="567" w:hanging="567"/>
              <w:rPr>
                <w:b/>
              </w:rPr>
            </w:pPr>
            <w:r w:rsidRPr="00342AEB">
              <w:rPr>
                <w:b/>
              </w:rPr>
              <w:t xml:space="preserve">In addition to the review of the financial statements, the </w:t>
            </w:r>
            <w:r w:rsidR="00C35FB0">
              <w:rPr>
                <w:b/>
              </w:rPr>
              <w:t>assurance practitioner</w:t>
            </w:r>
            <w:r w:rsidRPr="00342AEB">
              <w:rPr>
                <w:b/>
              </w:rPr>
              <w:t xml:space="preserve"> has other reporting responsibilities under </w:t>
            </w:r>
            <w:r w:rsidR="00A42A02">
              <w:rPr>
                <w:b/>
              </w:rPr>
              <w:t>applicable</w:t>
            </w:r>
            <w:r w:rsidR="00A42A02" w:rsidRPr="00342AEB">
              <w:rPr>
                <w:b/>
              </w:rPr>
              <w:t xml:space="preserve"> </w:t>
            </w:r>
            <w:r w:rsidRPr="00342AEB">
              <w:rPr>
                <w:b/>
              </w:rPr>
              <w:t xml:space="preserve">law. </w:t>
            </w:r>
          </w:p>
          <w:p w14:paraId="34A54DFC" w14:textId="77777777" w:rsidR="00B276D6" w:rsidRPr="00B276D6" w:rsidRDefault="00B276D6" w:rsidP="00B276D6"/>
        </w:tc>
      </w:tr>
    </w:tbl>
    <w:p w14:paraId="529763D3" w14:textId="77777777" w:rsidR="00B276D6" w:rsidRPr="00B276D6" w:rsidRDefault="00B276D6" w:rsidP="00171A1D">
      <w:pPr>
        <w:pStyle w:val="ParaPlain"/>
        <w:spacing w:before="240"/>
      </w:pPr>
      <w:r w:rsidRPr="00B276D6">
        <w:t xml:space="preserve">INDEPENDENT </w:t>
      </w:r>
      <w:r w:rsidR="00C35FB0">
        <w:t>ASSURANCE PRACTITIONER</w:t>
      </w:r>
      <w:r w:rsidRPr="00B276D6">
        <w:t xml:space="preserve">’S REVIEW REPORT </w:t>
      </w:r>
    </w:p>
    <w:p w14:paraId="14DD8214" w14:textId="77777777" w:rsidR="00B276D6" w:rsidRPr="00B276D6" w:rsidRDefault="00B276D6" w:rsidP="00342AEB">
      <w:pPr>
        <w:pStyle w:val="ParaPlain"/>
      </w:pPr>
      <w:r w:rsidRPr="00B276D6">
        <w:t xml:space="preserve">[Appropriate Addressee] </w:t>
      </w:r>
    </w:p>
    <w:p w14:paraId="10D3E660" w14:textId="77777777" w:rsidR="00B276D6" w:rsidRPr="00B276D6" w:rsidRDefault="00B276D6" w:rsidP="00342AEB">
      <w:pPr>
        <w:pStyle w:val="Heading6"/>
      </w:pPr>
      <w:r w:rsidRPr="00B276D6">
        <w:t>Report on the Financial Statements</w:t>
      </w:r>
      <w:r w:rsidR="003B0C9A">
        <w:rPr>
          <w:rStyle w:val="FootnoteReference"/>
        </w:rPr>
        <w:footnoteReference w:id="4"/>
      </w:r>
      <w:r w:rsidRPr="00B276D6">
        <w:t xml:space="preserve"> </w:t>
      </w:r>
    </w:p>
    <w:p w14:paraId="2C39B1B1" w14:textId="77777777" w:rsidR="00B276D6" w:rsidRPr="00B276D6" w:rsidRDefault="00B276D6" w:rsidP="00342AEB">
      <w:pPr>
        <w:pStyle w:val="ParaPlain"/>
      </w:pPr>
      <w:r w:rsidRPr="00B276D6">
        <w:t xml:space="preserve">We have reviewed the accompanying financial statements of ABC Company, which comprise the statement of financial position as at December 31, 20X1, and the statement of comprehensive income, statement of changes in equity and statement of cash flows for the year then ended, and a summary of significant accounting policies and other explanatory information. </w:t>
      </w:r>
    </w:p>
    <w:p w14:paraId="3C628B59" w14:textId="77777777" w:rsidR="00B276D6" w:rsidRPr="00B276D6" w:rsidRDefault="00B276D6" w:rsidP="00342AEB">
      <w:pPr>
        <w:pStyle w:val="Heading7"/>
      </w:pPr>
      <w:r w:rsidRPr="00B276D6">
        <w:t>Management’s</w:t>
      </w:r>
      <w:r w:rsidR="003B0C9A" w:rsidRPr="003B0C9A">
        <w:rPr>
          <w:rStyle w:val="FootnoteReference"/>
          <w:i w:val="0"/>
        </w:rPr>
        <w:footnoteReference w:id="5"/>
      </w:r>
      <w:r w:rsidRPr="00B276D6">
        <w:t xml:space="preserve"> Responsibility for the Financial Statements </w:t>
      </w:r>
    </w:p>
    <w:p w14:paraId="2B88AA14" w14:textId="77777777" w:rsidR="00B276D6" w:rsidRPr="00B276D6" w:rsidRDefault="00B276D6" w:rsidP="00342AEB">
      <w:pPr>
        <w:pStyle w:val="ParaPlain"/>
      </w:pPr>
      <w:r w:rsidRPr="00B276D6">
        <w:t xml:space="preserve">Management is responsible for the preparation of these financial statements in accordance with XYZ Law of Jurisdiction X, and for such internal control as management determines is necessary to enable the preparation of financial statements that are free from material misstatement, whether due to fraud or error. </w:t>
      </w:r>
    </w:p>
    <w:p w14:paraId="34F18574" w14:textId="77777777" w:rsidR="00B276D6" w:rsidRPr="00B276D6" w:rsidRDefault="00C35FB0" w:rsidP="00342AEB">
      <w:pPr>
        <w:pStyle w:val="Heading7"/>
      </w:pPr>
      <w:r>
        <w:t>Assurance practitioner</w:t>
      </w:r>
      <w:r w:rsidR="00B276D6" w:rsidRPr="00B276D6">
        <w:t xml:space="preserve">’s Responsibility </w:t>
      </w:r>
    </w:p>
    <w:p w14:paraId="309971DB" w14:textId="77777777" w:rsidR="00B276D6" w:rsidRPr="00B276D6" w:rsidRDefault="00B276D6" w:rsidP="00342AEB">
      <w:pPr>
        <w:pStyle w:val="ParaPlain"/>
      </w:pPr>
      <w:r w:rsidRPr="00B276D6">
        <w:t xml:space="preserve">Our responsibility is to express a conclusion on the accompanying financial statements. </w:t>
      </w:r>
      <w:r w:rsidR="008D6B59">
        <w:t xml:space="preserve"> </w:t>
      </w:r>
      <w:r w:rsidRPr="00B276D6">
        <w:t xml:space="preserve">We conducted our review in accordance with </w:t>
      </w:r>
      <w:r w:rsidR="00614675">
        <w:t>Australian</w:t>
      </w:r>
      <w:r w:rsidRPr="00B276D6">
        <w:t xml:space="preserve"> Standard on Review Engagements </w:t>
      </w:r>
      <w:r w:rsidR="006A62E2">
        <w:t>ASRE</w:t>
      </w:r>
      <w:r w:rsidRPr="00B276D6">
        <w:t xml:space="preserve"> 2400, </w:t>
      </w:r>
      <w:r w:rsidR="00A42A02" w:rsidRPr="004C04CA">
        <w:rPr>
          <w:i/>
        </w:rPr>
        <w:t>Revie</w:t>
      </w:r>
      <w:r w:rsidR="00A42A02">
        <w:rPr>
          <w:i/>
        </w:rPr>
        <w:t>w of a Financial Report Performed by an Assurance Practitioner Who is not the Auditor of the Entity</w:t>
      </w:r>
      <w:r w:rsidRPr="00B276D6">
        <w:t xml:space="preserve">. </w:t>
      </w:r>
      <w:r w:rsidR="008D6B59">
        <w:t xml:space="preserve"> </w:t>
      </w:r>
      <w:r w:rsidR="00582B2A">
        <w:t>ASRE </w:t>
      </w:r>
      <w:r w:rsidR="00582B2A" w:rsidRPr="00B276D6">
        <w:t>2</w:t>
      </w:r>
      <w:r w:rsidRPr="00B276D6">
        <w:t xml:space="preserve">400 requires us to conclude whether anything has come to our attention that causes us to believe that the financial statements, taken as a whole, are not prepared in all material respects in accordance with the applicable financial reporting framework. </w:t>
      </w:r>
      <w:r w:rsidR="008D6B59">
        <w:t xml:space="preserve"> </w:t>
      </w:r>
      <w:r w:rsidRPr="00B276D6">
        <w:t xml:space="preserve">This Standard also requires us to comply with relevant ethical requirements. </w:t>
      </w:r>
    </w:p>
    <w:p w14:paraId="09B1B9AD" w14:textId="77777777" w:rsidR="00B276D6" w:rsidRPr="00B276D6" w:rsidRDefault="00B276D6" w:rsidP="00342AEB">
      <w:pPr>
        <w:pStyle w:val="ParaPlain"/>
      </w:pPr>
      <w:r w:rsidRPr="00B276D6">
        <w:t xml:space="preserve">A review of financial statements in accordance with </w:t>
      </w:r>
      <w:r w:rsidR="00582B2A">
        <w:t>ASRE </w:t>
      </w:r>
      <w:r w:rsidR="00582B2A" w:rsidRPr="00B276D6">
        <w:t>2</w:t>
      </w:r>
      <w:r w:rsidRPr="00B276D6">
        <w:t xml:space="preserve">400 is a limited assurance engagement. </w:t>
      </w:r>
      <w:r w:rsidR="008D6B59">
        <w:t xml:space="preserve"> </w:t>
      </w:r>
      <w:r w:rsidRPr="00B276D6">
        <w:t xml:space="preserve">The </w:t>
      </w:r>
      <w:r w:rsidR="00C35FB0">
        <w:t>assurance practitioner</w:t>
      </w:r>
      <w:r w:rsidRPr="00B276D6">
        <w:t xml:space="preserve"> performs procedures, primarily consisting of making </w:t>
      </w:r>
      <w:r w:rsidR="00614675">
        <w:t>enquiries</w:t>
      </w:r>
      <w:r w:rsidRPr="00B276D6">
        <w:t xml:space="preserve"> of </w:t>
      </w:r>
      <w:r w:rsidRPr="00B276D6">
        <w:lastRenderedPageBreak/>
        <w:t xml:space="preserve">management and others within the entity, as appropriate, and applying analytical procedures, and evaluates the evidence obtained. </w:t>
      </w:r>
    </w:p>
    <w:p w14:paraId="022CD088" w14:textId="77777777" w:rsidR="00B276D6" w:rsidRPr="00B276D6" w:rsidRDefault="00B276D6" w:rsidP="00342AEB">
      <w:pPr>
        <w:pStyle w:val="ParaPlain"/>
      </w:pPr>
      <w:r w:rsidRPr="00B276D6">
        <w:t xml:space="preserve">The procedures performed in a review are substantially less than those performed in an audit conducted in accordance with </w:t>
      </w:r>
      <w:r w:rsidR="00614675">
        <w:t>Australian</w:t>
      </w:r>
      <w:r w:rsidRPr="00B276D6">
        <w:t xml:space="preserve"> Auditing</w:t>
      </w:r>
      <w:r w:rsidR="00A42A02">
        <w:t xml:space="preserve"> Standards</w:t>
      </w:r>
      <w:r w:rsidRPr="00B276D6">
        <w:t xml:space="preserve">. </w:t>
      </w:r>
      <w:r w:rsidR="008D6B59">
        <w:t xml:space="preserve"> </w:t>
      </w:r>
      <w:r w:rsidRPr="00B276D6">
        <w:t xml:space="preserve">Accordingly, we do not express an audit opinion on these financial statements. </w:t>
      </w:r>
    </w:p>
    <w:p w14:paraId="0C48AB1B" w14:textId="77777777" w:rsidR="00B276D6" w:rsidRPr="00B276D6" w:rsidRDefault="00B276D6" w:rsidP="00342AEB">
      <w:pPr>
        <w:pStyle w:val="Heading7"/>
      </w:pPr>
      <w:r w:rsidRPr="00B276D6">
        <w:t xml:space="preserve">Basis for Qualified Conclusion </w:t>
      </w:r>
    </w:p>
    <w:p w14:paraId="5AD8D90A" w14:textId="77777777" w:rsidR="00B276D6" w:rsidRPr="00B276D6" w:rsidRDefault="00B276D6" w:rsidP="00342AEB">
      <w:pPr>
        <w:pStyle w:val="ParaPlain"/>
      </w:pPr>
      <w:r w:rsidRPr="00B276D6">
        <w:t xml:space="preserve">The company’s inventories are carried in the statement of financial position at xxx. Management has not stated the inventories at the lower of cost and net realizable value but has stated them solely at cost, which constitutes a departure from the requirements of the Financial Reporting Framework (XYZ Law) of Jurisdiction X. </w:t>
      </w:r>
      <w:r w:rsidR="008D6B59">
        <w:t xml:space="preserve"> </w:t>
      </w:r>
      <w:r w:rsidRPr="00B276D6">
        <w:t>The company’s records indicate that, had management stated the inventories at the lower of cost and net reali</w:t>
      </w:r>
      <w:r w:rsidR="00FC7308">
        <w:t>s</w:t>
      </w:r>
      <w:r w:rsidRPr="00B276D6">
        <w:t>able value, an amount of xxx would have been required to write the inventories down to their net reali</w:t>
      </w:r>
      <w:r w:rsidR="00FC7308">
        <w:t>s</w:t>
      </w:r>
      <w:r w:rsidRPr="00B276D6">
        <w:t xml:space="preserve">able value. </w:t>
      </w:r>
      <w:r w:rsidR="008D6B59">
        <w:t xml:space="preserve"> </w:t>
      </w:r>
      <w:r w:rsidRPr="00B276D6">
        <w:t xml:space="preserve">Accordingly, cost of sales would have been increased by xxx, and income tax, net income and  equity would have been reduced by xxx, xxx and xxx, respectively. </w:t>
      </w:r>
    </w:p>
    <w:p w14:paraId="4C0B483D" w14:textId="77777777" w:rsidR="00B276D6" w:rsidRPr="00B276D6" w:rsidRDefault="00B276D6" w:rsidP="00342AEB">
      <w:pPr>
        <w:pStyle w:val="Heading7"/>
      </w:pPr>
      <w:r w:rsidRPr="00B276D6">
        <w:t xml:space="preserve">Qualified Conclusion </w:t>
      </w:r>
    </w:p>
    <w:p w14:paraId="67DF2120" w14:textId="77777777" w:rsidR="00B276D6" w:rsidRPr="00B276D6" w:rsidRDefault="00B276D6" w:rsidP="00342AEB">
      <w:pPr>
        <w:pStyle w:val="ParaPlain"/>
      </w:pPr>
      <w:r w:rsidRPr="00B276D6">
        <w:t xml:space="preserve">Based on our review, except for the effects of the matter described in the Basis for Qualified Conclusion paragraph, nothing has come to our attention that causes us to believe that the financial statements of ABC Company are not prepared, in all material respects, in accordance with the Financial Reporting Framework (XYZ Law) of Jurisdiction X. </w:t>
      </w:r>
    </w:p>
    <w:p w14:paraId="7606C813" w14:textId="77777777" w:rsidR="00B276D6" w:rsidRPr="00B276D6" w:rsidRDefault="00B276D6" w:rsidP="00342AEB">
      <w:pPr>
        <w:pStyle w:val="Heading6"/>
      </w:pPr>
      <w:r w:rsidRPr="00B276D6">
        <w:t xml:space="preserve">Report on Other Legal and Regulatory Requirements </w:t>
      </w:r>
    </w:p>
    <w:p w14:paraId="7D367FFA" w14:textId="77777777" w:rsidR="00B276D6" w:rsidRPr="00B276D6" w:rsidRDefault="00B276D6" w:rsidP="00342AEB">
      <w:pPr>
        <w:pStyle w:val="ParaPlain"/>
      </w:pPr>
      <w:r w:rsidRPr="00B276D6">
        <w:t xml:space="preserve">[Form and content of this section of the </w:t>
      </w:r>
      <w:r w:rsidR="00C35FB0">
        <w:t>assurance practitioner</w:t>
      </w:r>
      <w:r w:rsidRPr="00B276D6">
        <w:t xml:space="preserve">’s report will vary depending on the nature of the </w:t>
      </w:r>
      <w:r w:rsidR="00C35FB0">
        <w:t>assurance practitioner</w:t>
      </w:r>
      <w:r w:rsidRPr="00B276D6">
        <w:t xml:space="preserve">’s other reporting responsibilities.] </w:t>
      </w:r>
    </w:p>
    <w:p w14:paraId="2ED89C6C" w14:textId="77777777" w:rsidR="00B276D6" w:rsidRPr="00B276D6" w:rsidRDefault="00B276D6" w:rsidP="00342AEB">
      <w:pPr>
        <w:pStyle w:val="ParaPlain"/>
      </w:pPr>
      <w:r w:rsidRPr="00B276D6">
        <w:t>[</w:t>
      </w:r>
      <w:r w:rsidR="00C35FB0">
        <w:t>Assurance practitioner</w:t>
      </w:r>
      <w:r w:rsidR="00377BCA">
        <w:t>’s signature]</w:t>
      </w:r>
    </w:p>
    <w:p w14:paraId="46F5A5CA" w14:textId="77777777" w:rsidR="00B276D6" w:rsidRPr="00B276D6" w:rsidRDefault="00B276D6" w:rsidP="00342AEB">
      <w:pPr>
        <w:pStyle w:val="ParaPlain"/>
      </w:pPr>
      <w:r w:rsidRPr="00B276D6">
        <w:t xml:space="preserve">[Date of the </w:t>
      </w:r>
      <w:r w:rsidR="00C35FB0">
        <w:t>assurance practitioner</w:t>
      </w:r>
      <w:r w:rsidR="00377BCA">
        <w:t>’s report]</w:t>
      </w:r>
    </w:p>
    <w:p w14:paraId="58E605F5" w14:textId="77777777" w:rsidR="00B276D6" w:rsidRDefault="00B276D6" w:rsidP="00171A1D">
      <w:pPr>
        <w:pStyle w:val="ParaPlain"/>
      </w:pPr>
      <w:r w:rsidRPr="00B276D6">
        <w:t>[</w:t>
      </w:r>
      <w:r w:rsidR="00C35FB0">
        <w:t>Assurance practitioner</w:t>
      </w:r>
      <w:r w:rsidRPr="00B276D6">
        <w:t>’s address]</w:t>
      </w:r>
      <w:r>
        <w:br w:type="page"/>
      </w:r>
    </w:p>
    <w:tbl>
      <w:tblPr>
        <w:tblW w:w="0" w:type="auto"/>
        <w:tblBorders>
          <w:top w:val="nil"/>
          <w:left w:val="nil"/>
          <w:bottom w:val="nil"/>
          <w:right w:val="nil"/>
        </w:tblBorders>
        <w:tblLayout w:type="fixed"/>
        <w:tblLook w:val="0000" w:firstRow="0" w:lastRow="0" w:firstColumn="0" w:lastColumn="0" w:noHBand="0" w:noVBand="0"/>
        <w:tblCaption w:val="Illustrative Assurance practitioners’ Review Reports "/>
        <w:tblDescription w:val="Illustration 3"/>
      </w:tblPr>
      <w:tblGrid>
        <w:gridCol w:w="9152"/>
      </w:tblGrid>
      <w:tr w:rsidR="00B276D6" w:rsidRPr="00B276D6" w14:paraId="758515F7" w14:textId="77777777" w:rsidTr="009E3206">
        <w:trPr>
          <w:trHeight w:val="1933"/>
        </w:trPr>
        <w:tc>
          <w:tcPr>
            <w:tcW w:w="9152" w:type="dxa"/>
            <w:tcBorders>
              <w:top w:val="single" w:sz="4" w:space="0" w:color="auto"/>
              <w:left w:val="single" w:sz="4" w:space="0" w:color="auto"/>
              <w:bottom w:val="single" w:sz="4" w:space="0" w:color="auto"/>
              <w:right w:val="single" w:sz="4" w:space="0" w:color="auto"/>
            </w:tcBorders>
          </w:tcPr>
          <w:p w14:paraId="0B7F5E1A" w14:textId="77777777" w:rsidR="00B276D6" w:rsidRPr="009E3206" w:rsidRDefault="00B276D6" w:rsidP="009E3206">
            <w:pPr>
              <w:pStyle w:val="ParaPlain"/>
              <w:spacing w:before="120"/>
              <w:rPr>
                <w:b/>
                <w:u w:val="single"/>
              </w:rPr>
            </w:pPr>
            <w:r w:rsidRPr="009E3206">
              <w:rPr>
                <w:b/>
                <w:u w:val="single"/>
              </w:rPr>
              <w:lastRenderedPageBreak/>
              <w:t xml:space="preserve">Illustration 3 </w:t>
            </w:r>
          </w:p>
          <w:p w14:paraId="3049B39C" w14:textId="77777777" w:rsidR="00B276D6" w:rsidRPr="009E3206" w:rsidRDefault="00B276D6" w:rsidP="009E3206">
            <w:pPr>
              <w:pStyle w:val="ParaPlain"/>
              <w:rPr>
                <w:b/>
              </w:rPr>
            </w:pPr>
            <w:r w:rsidRPr="009E3206">
              <w:rPr>
                <w:b/>
              </w:rPr>
              <w:t xml:space="preserve">Circumstances include the following: </w:t>
            </w:r>
          </w:p>
          <w:p w14:paraId="167C28F0" w14:textId="77777777" w:rsidR="00B276D6" w:rsidRPr="009E3206" w:rsidRDefault="00B276D6" w:rsidP="009E3206">
            <w:pPr>
              <w:pStyle w:val="ListBullet"/>
              <w:tabs>
                <w:tab w:val="clear" w:pos="709"/>
                <w:tab w:val="num" w:pos="567"/>
              </w:tabs>
              <w:ind w:left="567" w:hanging="567"/>
              <w:rPr>
                <w:b/>
              </w:rPr>
            </w:pPr>
            <w:r w:rsidRPr="009E3206">
              <w:rPr>
                <w:b/>
              </w:rPr>
              <w:t xml:space="preserve">Review of a complete set of general purpose financial statements prepared by management of the entity in accordance with [a financial reporting framework designed to achieve fair presentation other than </w:t>
            </w:r>
            <w:r w:rsidR="00614675">
              <w:rPr>
                <w:b/>
              </w:rPr>
              <w:t>Australian</w:t>
            </w:r>
            <w:r w:rsidRPr="009E3206">
              <w:rPr>
                <w:b/>
              </w:rPr>
              <w:t xml:space="preserve"> </w:t>
            </w:r>
            <w:r w:rsidR="00A00B52">
              <w:rPr>
                <w:b/>
              </w:rPr>
              <w:t>Accounting</w:t>
            </w:r>
            <w:r w:rsidRPr="009E3206">
              <w:rPr>
                <w:b/>
              </w:rPr>
              <w:t xml:space="preserve"> Standards]. </w:t>
            </w:r>
          </w:p>
          <w:p w14:paraId="343B3AAE" w14:textId="77777777" w:rsidR="00B276D6" w:rsidRPr="009E3206" w:rsidRDefault="00B276D6" w:rsidP="009E3206">
            <w:pPr>
              <w:pStyle w:val="ListBullet"/>
              <w:tabs>
                <w:tab w:val="clear" w:pos="709"/>
                <w:tab w:val="num" w:pos="567"/>
              </w:tabs>
              <w:ind w:left="567" w:hanging="567"/>
              <w:rPr>
                <w:b/>
              </w:rPr>
            </w:pPr>
            <w:r w:rsidRPr="009E3206">
              <w:rPr>
                <w:b/>
              </w:rPr>
              <w:t xml:space="preserve">The terms of the review engagement reflect the description of management’s responsibility for the financial statements in </w:t>
            </w:r>
            <w:r w:rsidR="00582B2A" w:rsidRPr="009E3206">
              <w:rPr>
                <w:b/>
              </w:rPr>
              <w:t>paragraph</w:t>
            </w:r>
            <w:r w:rsidR="00582B2A">
              <w:rPr>
                <w:b/>
              </w:rPr>
              <w:t> </w:t>
            </w:r>
            <w:r w:rsidR="00582B2A" w:rsidRPr="009E3206">
              <w:rPr>
                <w:b/>
              </w:rPr>
              <w:t>3</w:t>
            </w:r>
            <w:r w:rsidRPr="009E3206">
              <w:rPr>
                <w:b/>
              </w:rPr>
              <w:t xml:space="preserve">0(b) of this </w:t>
            </w:r>
            <w:r w:rsidR="006A62E2">
              <w:rPr>
                <w:b/>
              </w:rPr>
              <w:t>ASRE</w:t>
            </w:r>
            <w:r w:rsidRPr="009E3206">
              <w:rPr>
                <w:b/>
              </w:rPr>
              <w:t xml:space="preserve">. </w:t>
            </w:r>
          </w:p>
          <w:p w14:paraId="5F470797" w14:textId="77777777" w:rsidR="00B276D6" w:rsidRPr="009E3206" w:rsidRDefault="00B276D6" w:rsidP="009E3206">
            <w:pPr>
              <w:pStyle w:val="ListBullet"/>
              <w:tabs>
                <w:tab w:val="clear" w:pos="709"/>
                <w:tab w:val="num" w:pos="567"/>
              </w:tabs>
              <w:ind w:left="567" w:hanging="567"/>
              <w:rPr>
                <w:b/>
              </w:rPr>
            </w:pPr>
            <w:r w:rsidRPr="009E3206">
              <w:rPr>
                <w:b/>
              </w:rPr>
              <w:t xml:space="preserve">The </w:t>
            </w:r>
            <w:r w:rsidR="00C35FB0">
              <w:rPr>
                <w:b/>
              </w:rPr>
              <w:t>assurance practitioner</w:t>
            </w:r>
            <w:r w:rsidRPr="009E3206">
              <w:rPr>
                <w:b/>
              </w:rPr>
              <w:t xml:space="preserve"> was unable to obtain sufficient appropriate evidence regarding an investment in a foreign affiliate. The possible effects of the inability to obtain sufficient appropriate evidence are deemed to be material but not pervasive to the financial statements. </w:t>
            </w:r>
          </w:p>
          <w:p w14:paraId="42FB18A7" w14:textId="77777777" w:rsidR="00B276D6" w:rsidRPr="009E3206" w:rsidRDefault="00B276D6" w:rsidP="009E3206">
            <w:pPr>
              <w:pStyle w:val="ListBullet"/>
              <w:tabs>
                <w:tab w:val="clear" w:pos="709"/>
                <w:tab w:val="num" w:pos="567"/>
              </w:tabs>
              <w:spacing w:after="0"/>
              <w:ind w:left="567" w:hanging="567"/>
              <w:rPr>
                <w:b/>
              </w:rPr>
            </w:pPr>
            <w:r w:rsidRPr="009E3206">
              <w:rPr>
                <w:b/>
              </w:rPr>
              <w:t xml:space="preserve">The </w:t>
            </w:r>
            <w:r w:rsidR="00C35FB0">
              <w:rPr>
                <w:b/>
              </w:rPr>
              <w:t>assurance practitioner</w:t>
            </w:r>
            <w:r w:rsidRPr="009E3206">
              <w:rPr>
                <w:b/>
              </w:rPr>
              <w:t xml:space="preserve"> does not have other reporting responsibilities under local law in addition to the review of the consolidated financial statements. </w:t>
            </w:r>
          </w:p>
          <w:p w14:paraId="35ED8E9E" w14:textId="77777777" w:rsidR="00B276D6" w:rsidRPr="00B276D6" w:rsidRDefault="00B276D6" w:rsidP="00B276D6"/>
        </w:tc>
      </w:tr>
    </w:tbl>
    <w:p w14:paraId="0DA8AB61" w14:textId="77777777" w:rsidR="00B276D6" w:rsidRPr="00B276D6" w:rsidRDefault="00B276D6" w:rsidP="00171A1D">
      <w:pPr>
        <w:pStyle w:val="ParaPlain"/>
        <w:spacing w:before="240"/>
      </w:pPr>
      <w:r w:rsidRPr="00B276D6">
        <w:t xml:space="preserve">INDEPENDENT </w:t>
      </w:r>
      <w:r w:rsidR="00C35FB0">
        <w:t>ASSURANCE PRACTITIONER</w:t>
      </w:r>
      <w:r w:rsidRPr="00B276D6">
        <w:t xml:space="preserve">’S REVIEW REPORT </w:t>
      </w:r>
    </w:p>
    <w:p w14:paraId="1AC36B74" w14:textId="77777777" w:rsidR="00B276D6" w:rsidRPr="00B276D6" w:rsidRDefault="00B276D6" w:rsidP="00285527">
      <w:pPr>
        <w:pStyle w:val="ParaPlain"/>
      </w:pPr>
      <w:r w:rsidRPr="00B276D6">
        <w:t xml:space="preserve">[Appropriate Addressee] </w:t>
      </w:r>
    </w:p>
    <w:p w14:paraId="55FDF1FE" w14:textId="77777777" w:rsidR="00B276D6" w:rsidRPr="00B276D6" w:rsidRDefault="00B276D6" w:rsidP="00285527">
      <w:pPr>
        <w:pStyle w:val="ParaPlain"/>
      </w:pPr>
      <w:r w:rsidRPr="00B276D6">
        <w:t xml:space="preserve">We have reviewed the accompanying financial statements of ABC Company, which comprise the statement of financial position as at December 31, 20X1, and the statement of comprehensive income, statement of changes in equity and statement of cash flows for the year then ended, and a summary of significant accounting policies and other explanatory information. </w:t>
      </w:r>
    </w:p>
    <w:p w14:paraId="0A39879A" w14:textId="77777777" w:rsidR="00B276D6" w:rsidRPr="00B276D6" w:rsidRDefault="00B276D6" w:rsidP="00285527">
      <w:pPr>
        <w:pStyle w:val="Heading7"/>
      </w:pPr>
      <w:r w:rsidRPr="00B276D6">
        <w:t>Management’s</w:t>
      </w:r>
      <w:r w:rsidR="005D4C1D" w:rsidRPr="005D4C1D">
        <w:rPr>
          <w:rStyle w:val="FootnoteReference"/>
          <w:i w:val="0"/>
        </w:rPr>
        <w:footnoteReference w:id="6"/>
      </w:r>
      <w:r w:rsidRPr="00B276D6">
        <w:t xml:space="preserve"> Responsibility for the Financial Statements </w:t>
      </w:r>
    </w:p>
    <w:p w14:paraId="5C13C8C1" w14:textId="77777777" w:rsidR="00B276D6" w:rsidRPr="00B276D6" w:rsidRDefault="00B276D6" w:rsidP="00285527">
      <w:pPr>
        <w:pStyle w:val="ParaPlain"/>
      </w:pPr>
      <w:r w:rsidRPr="00B276D6">
        <w:t xml:space="preserve">Management is responsible for the preparation and fair presentation of these financial statements in accordance with [name of applicable financial reporting framework, including a reference to the jurisdiction or country of origin of the financial reporting framework when the financial reporting framework used is not </w:t>
      </w:r>
      <w:r w:rsidR="00614675">
        <w:t>Australian</w:t>
      </w:r>
      <w:r w:rsidR="00A00B52">
        <w:t xml:space="preserve"> Accounting</w:t>
      </w:r>
      <w:r w:rsidRPr="00B276D6">
        <w:t xml:space="preserve"> Standards],</w:t>
      </w:r>
      <w:r w:rsidR="005D4C1D">
        <w:rPr>
          <w:rStyle w:val="FootnoteReference"/>
        </w:rPr>
        <w:footnoteReference w:id="7"/>
      </w:r>
      <w:r w:rsidRPr="00B276D6">
        <w:t xml:space="preserve"> and for such internal control as management determines is necessary to enable the preparation of financial statements that are free from material misstatement, whether due to fraud or error. </w:t>
      </w:r>
    </w:p>
    <w:p w14:paraId="7E097B96" w14:textId="77777777" w:rsidR="00B276D6" w:rsidRPr="00B276D6" w:rsidRDefault="00C35FB0" w:rsidP="00285527">
      <w:pPr>
        <w:pStyle w:val="Heading7"/>
      </w:pPr>
      <w:r>
        <w:t>Assurance practitioner</w:t>
      </w:r>
      <w:r w:rsidR="00B276D6" w:rsidRPr="00B276D6">
        <w:t xml:space="preserve">’s Responsibility </w:t>
      </w:r>
    </w:p>
    <w:p w14:paraId="4CD723C6" w14:textId="77777777" w:rsidR="00B276D6" w:rsidRPr="00B276D6" w:rsidRDefault="00B276D6" w:rsidP="00285527">
      <w:pPr>
        <w:pStyle w:val="ParaPlain"/>
      </w:pPr>
      <w:r w:rsidRPr="00B276D6">
        <w:t xml:space="preserve">Our responsibility is to express a conclusion on the accompanying financial statements. </w:t>
      </w:r>
      <w:r w:rsidR="007F3D92">
        <w:t xml:space="preserve"> </w:t>
      </w:r>
      <w:r w:rsidRPr="00B276D6">
        <w:t xml:space="preserve">We conducted our review in accordance with </w:t>
      </w:r>
      <w:r w:rsidR="00614675">
        <w:t>Australian</w:t>
      </w:r>
      <w:r w:rsidRPr="00B276D6">
        <w:t xml:space="preserve"> Standard on Review Engagements </w:t>
      </w:r>
      <w:r w:rsidR="006A62E2">
        <w:t>ASRE</w:t>
      </w:r>
      <w:r w:rsidRPr="00B276D6">
        <w:t xml:space="preserve"> 2400, </w:t>
      </w:r>
      <w:r w:rsidR="00A42A02" w:rsidRPr="004C04CA">
        <w:rPr>
          <w:i/>
        </w:rPr>
        <w:t>Revie</w:t>
      </w:r>
      <w:r w:rsidR="00A42A02">
        <w:rPr>
          <w:i/>
        </w:rPr>
        <w:t>w of a Financial Report Performed by an Assurance Practitioner Who is not the Auditor of the Entity</w:t>
      </w:r>
      <w:r w:rsidRPr="00B276D6">
        <w:t xml:space="preserve">. </w:t>
      </w:r>
      <w:r w:rsidR="007F3D92">
        <w:t xml:space="preserve"> </w:t>
      </w:r>
      <w:r w:rsidR="00582B2A">
        <w:t>ASRE </w:t>
      </w:r>
      <w:r w:rsidR="00582B2A" w:rsidRPr="00B276D6">
        <w:t>2</w:t>
      </w:r>
      <w:r w:rsidRPr="00B276D6">
        <w:t xml:space="preserve">400 requires us to conclude whether anything has come to our attention that causes us to believe that the financial statements, taken as a whole, are not prepared in all material respects in accordance with the applicable financial reporting framework. </w:t>
      </w:r>
      <w:r w:rsidR="00413F49">
        <w:t xml:space="preserve"> </w:t>
      </w:r>
      <w:r w:rsidRPr="00B276D6">
        <w:t>This Standard also requires us to comply with relevant ethical requirements.</w:t>
      </w:r>
    </w:p>
    <w:p w14:paraId="74844D8D" w14:textId="77777777" w:rsidR="00B276D6" w:rsidRPr="00B276D6" w:rsidRDefault="00B276D6" w:rsidP="00285527">
      <w:pPr>
        <w:pStyle w:val="ParaPlain"/>
      </w:pPr>
      <w:r w:rsidRPr="00B276D6">
        <w:t xml:space="preserve">A review of financial statements in accordance with </w:t>
      </w:r>
      <w:r w:rsidR="00582B2A">
        <w:t>ASRE </w:t>
      </w:r>
      <w:r w:rsidR="00582B2A" w:rsidRPr="00B276D6">
        <w:t>2</w:t>
      </w:r>
      <w:r w:rsidRPr="00B276D6">
        <w:t xml:space="preserve">400 is a limited assurance engagement. </w:t>
      </w:r>
      <w:r w:rsidR="007F3D92">
        <w:t xml:space="preserve"> </w:t>
      </w:r>
      <w:r w:rsidRPr="00B276D6">
        <w:t xml:space="preserve">The </w:t>
      </w:r>
      <w:r w:rsidR="00C35FB0">
        <w:t>assurance practitioner</w:t>
      </w:r>
      <w:r w:rsidRPr="00B276D6">
        <w:t xml:space="preserve"> performs procedures, primarily consisting of making </w:t>
      </w:r>
      <w:r w:rsidR="00614675">
        <w:t>enquiries</w:t>
      </w:r>
      <w:r w:rsidRPr="00B276D6">
        <w:t xml:space="preserve"> of management and others within the entity, as appropriate, and applying analytical procedures, and evaluates the evidence obtained. </w:t>
      </w:r>
    </w:p>
    <w:p w14:paraId="12A00646" w14:textId="77777777" w:rsidR="00B276D6" w:rsidRPr="00B276D6" w:rsidRDefault="00B276D6" w:rsidP="00285527">
      <w:pPr>
        <w:pStyle w:val="ParaPlain"/>
      </w:pPr>
      <w:r w:rsidRPr="00B276D6">
        <w:lastRenderedPageBreak/>
        <w:t xml:space="preserve">The procedures performed in a review are substantially less than those performed in an audit conducted in accordance with </w:t>
      </w:r>
      <w:r w:rsidR="00614675">
        <w:t>Australian</w:t>
      </w:r>
      <w:r w:rsidRPr="00B276D6">
        <w:t xml:space="preserve"> </w:t>
      </w:r>
      <w:r w:rsidR="00CB1B5F">
        <w:t xml:space="preserve">Auditing </w:t>
      </w:r>
      <w:r w:rsidRPr="00B276D6">
        <w:t xml:space="preserve">Standards. </w:t>
      </w:r>
      <w:r w:rsidR="007F3D92">
        <w:t xml:space="preserve"> </w:t>
      </w:r>
      <w:r w:rsidRPr="00B276D6">
        <w:t xml:space="preserve">Accordingly, we do not express an audit opinion on these financial statements. </w:t>
      </w:r>
    </w:p>
    <w:p w14:paraId="201D5C36" w14:textId="77777777" w:rsidR="00B276D6" w:rsidRPr="00B276D6" w:rsidRDefault="00B276D6" w:rsidP="00285527">
      <w:pPr>
        <w:pStyle w:val="Heading7"/>
      </w:pPr>
      <w:r w:rsidRPr="00B276D6">
        <w:t xml:space="preserve">Basis for Qualified Conclusion </w:t>
      </w:r>
    </w:p>
    <w:p w14:paraId="2167409C" w14:textId="77777777" w:rsidR="00B276D6" w:rsidRPr="00B276D6" w:rsidRDefault="00B276D6" w:rsidP="00285527">
      <w:pPr>
        <w:pStyle w:val="ParaPlain"/>
      </w:pPr>
      <w:r w:rsidRPr="00B276D6">
        <w:t xml:space="preserve">ABC Company’s investment in XYZ Company, a foreign associate acquired during the year and accounted for by the equity method, is carried at xxx on the statement of financial position as at December 31, 20X1, and ABC’s share of XYZ’s net income of xxx is included in ABC’s income for the year then ended. </w:t>
      </w:r>
      <w:r w:rsidR="007F3D92">
        <w:t xml:space="preserve"> </w:t>
      </w:r>
      <w:r w:rsidRPr="00B276D6">
        <w:t>We were unable to obtain access to the relevant financial information of XYZ concerning the carrying amount of ABC’s investment in XYZ as at December 31, 20X1 and ABC’s share of XYZ’s net income for the year.</w:t>
      </w:r>
      <w:r w:rsidR="00020842">
        <w:t xml:space="preserve"> </w:t>
      </w:r>
      <w:r w:rsidRPr="00B276D6">
        <w:t xml:space="preserve"> Consequently, we were unable to perform the procedures we considered necessary. </w:t>
      </w:r>
    </w:p>
    <w:p w14:paraId="112674F8" w14:textId="77777777" w:rsidR="00B276D6" w:rsidRPr="00B276D6" w:rsidRDefault="00B276D6" w:rsidP="00285527">
      <w:pPr>
        <w:pStyle w:val="Heading7"/>
      </w:pPr>
      <w:r w:rsidRPr="00B276D6">
        <w:t xml:space="preserve">Qualified Conclusion </w:t>
      </w:r>
    </w:p>
    <w:p w14:paraId="0B620ED6" w14:textId="77777777" w:rsidR="00B276D6" w:rsidRPr="00B276D6" w:rsidRDefault="00B276D6" w:rsidP="00285527">
      <w:pPr>
        <w:pStyle w:val="ParaPlain"/>
      </w:pPr>
      <w:r w:rsidRPr="00B276D6">
        <w:t xml:space="preserve">Based on our review, except for the possible effects of the matter described in the Basis for Qualified Conclusion paragraph, nothing has come to our attention that causes us to believe that the accompanying financial statements do not present fairly, in all material respects, (or </w:t>
      </w:r>
      <w:r w:rsidRPr="00B276D6">
        <w:rPr>
          <w:i/>
          <w:iCs/>
        </w:rPr>
        <w:t>do not give a true and fair view of</w:t>
      </w:r>
      <w:r w:rsidRPr="009944AC">
        <w:rPr>
          <w:iCs/>
        </w:rPr>
        <w:t>)</w:t>
      </w:r>
      <w:r w:rsidRPr="00B276D6">
        <w:rPr>
          <w:i/>
          <w:iCs/>
        </w:rPr>
        <w:t xml:space="preserve"> </w:t>
      </w:r>
      <w:r w:rsidRPr="00B276D6">
        <w:t>the financial position of ABC Company as at December 31, 20X1, and (</w:t>
      </w:r>
      <w:r w:rsidRPr="00B276D6">
        <w:rPr>
          <w:i/>
          <w:iCs/>
        </w:rPr>
        <w:t>of</w:t>
      </w:r>
      <w:r w:rsidRPr="00B276D6">
        <w:t xml:space="preserve">) its financial performance and cash flows for the year then ended in accordance with [name of applicable financial reporting framework, including a reference to the jurisdiction or country of origin of the financial reporting framework when the financial reporting framework used is not </w:t>
      </w:r>
      <w:r w:rsidR="00614675">
        <w:t>Australian</w:t>
      </w:r>
      <w:r w:rsidRPr="00B276D6">
        <w:t xml:space="preserve"> </w:t>
      </w:r>
      <w:r w:rsidR="00CB1B5F">
        <w:t>Accounting</w:t>
      </w:r>
      <w:r w:rsidR="00377BCA">
        <w:t xml:space="preserve"> Standards].</w:t>
      </w:r>
    </w:p>
    <w:p w14:paraId="4BDFD8D2" w14:textId="77777777" w:rsidR="00B276D6" w:rsidRPr="00B276D6" w:rsidRDefault="00B276D6" w:rsidP="00285527">
      <w:pPr>
        <w:pStyle w:val="ParaPlain"/>
      </w:pPr>
      <w:r w:rsidRPr="00B276D6">
        <w:t>[</w:t>
      </w:r>
      <w:r w:rsidR="00C35FB0">
        <w:t>Assurance practitioner</w:t>
      </w:r>
      <w:r w:rsidRPr="00B276D6">
        <w:t xml:space="preserve">’s signature] </w:t>
      </w:r>
    </w:p>
    <w:p w14:paraId="658DC927" w14:textId="77777777" w:rsidR="00B276D6" w:rsidRPr="00B276D6" w:rsidRDefault="00B276D6" w:rsidP="00285527">
      <w:pPr>
        <w:pStyle w:val="ParaPlain"/>
      </w:pPr>
      <w:r w:rsidRPr="00B276D6">
        <w:t xml:space="preserve">[Date of the </w:t>
      </w:r>
      <w:r w:rsidR="00C35FB0">
        <w:t>assurance practitioner</w:t>
      </w:r>
      <w:r w:rsidRPr="00B276D6">
        <w:t xml:space="preserve">’s report] </w:t>
      </w:r>
    </w:p>
    <w:p w14:paraId="0B6AC758" w14:textId="77777777" w:rsidR="00B276D6" w:rsidRDefault="00B276D6" w:rsidP="00171A1D">
      <w:pPr>
        <w:pStyle w:val="ParaPlain"/>
      </w:pPr>
      <w:r w:rsidRPr="00B276D6">
        <w:t>[</w:t>
      </w:r>
      <w:r w:rsidR="00C35FB0">
        <w:t>Assurance practitioner</w:t>
      </w:r>
      <w:r w:rsidRPr="00B276D6">
        <w:t>’s address]</w:t>
      </w:r>
      <w:r>
        <w:br w:type="page"/>
      </w:r>
    </w:p>
    <w:tbl>
      <w:tblPr>
        <w:tblW w:w="0" w:type="auto"/>
        <w:tblBorders>
          <w:top w:val="nil"/>
          <w:left w:val="nil"/>
          <w:bottom w:val="nil"/>
          <w:right w:val="nil"/>
        </w:tblBorders>
        <w:tblLayout w:type="fixed"/>
        <w:tblLook w:val="0000" w:firstRow="0" w:lastRow="0" w:firstColumn="0" w:lastColumn="0" w:noHBand="0" w:noVBand="0"/>
        <w:tblCaption w:val="Illustrative Assurance practitioners’ Review Reports "/>
        <w:tblDescription w:val="Illustration 4"/>
      </w:tblPr>
      <w:tblGrid>
        <w:gridCol w:w="9153"/>
      </w:tblGrid>
      <w:tr w:rsidR="00B276D6" w:rsidRPr="00B276D6" w14:paraId="435F3CC2" w14:textId="77777777" w:rsidTr="00285527">
        <w:trPr>
          <w:trHeight w:val="1933"/>
        </w:trPr>
        <w:tc>
          <w:tcPr>
            <w:tcW w:w="9153" w:type="dxa"/>
            <w:tcBorders>
              <w:top w:val="single" w:sz="4" w:space="0" w:color="auto"/>
              <w:left w:val="single" w:sz="4" w:space="0" w:color="auto"/>
              <w:bottom w:val="single" w:sz="4" w:space="0" w:color="auto"/>
              <w:right w:val="single" w:sz="4" w:space="0" w:color="auto"/>
            </w:tcBorders>
          </w:tcPr>
          <w:p w14:paraId="1A6E3D35" w14:textId="77777777" w:rsidR="00B276D6" w:rsidRPr="002460B7" w:rsidRDefault="00B276D6" w:rsidP="00285527">
            <w:pPr>
              <w:pStyle w:val="ParaPlain"/>
              <w:spacing w:before="120"/>
              <w:rPr>
                <w:b/>
                <w:u w:val="single"/>
              </w:rPr>
            </w:pPr>
            <w:r w:rsidRPr="002460B7">
              <w:rPr>
                <w:b/>
                <w:u w:val="single"/>
              </w:rPr>
              <w:lastRenderedPageBreak/>
              <w:t xml:space="preserve">Illustration 4 </w:t>
            </w:r>
          </w:p>
          <w:p w14:paraId="122EE39D" w14:textId="77777777" w:rsidR="00B276D6" w:rsidRPr="002460B7" w:rsidRDefault="00B276D6" w:rsidP="00285527">
            <w:pPr>
              <w:pStyle w:val="ParaPlain"/>
              <w:rPr>
                <w:b/>
              </w:rPr>
            </w:pPr>
            <w:r w:rsidRPr="002460B7">
              <w:rPr>
                <w:b/>
              </w:rPr>
              <w:t xml:space="preserve">Circumstances include the following: </w:t>
            </w:r>
          </w:p>
          <w:p w14:paraId="2BDEAAD8" w14:textId="77777777" w:rsidR="00B276D6" w:rsidRPr="002460B7" w:rsidRDefault="00B276D6" w:rsidP="00285527">
            <w:pPr>
              <w:pStyle w:val="ListBullet"/>
              <w:tabs>
                <w:tab w:val="clear" w:pos="709"/>
                <w:tab w:val="num" w:pos="567"/>
              </w:tabs>
              <w:ind w:left="567" w:hanging="567"/>
              <w:rPr>
                <w:b/>
              </w:rPr>
            </w:pPr>
            <w:r w:rsidRPr="002460B7">
              <w:rPr>
                <w:b/>
              </w:rPr>
              <w:t xml:space="preserve">Review of consolidated general purpose financial statements prepared by management of the parent in accordance with </w:t>
            </w:r>
            <w:r w:rsidR="00614675">
              <w:rPr>
                <w:b/>
              </w:rPr>
              <w:t>Australian</w:t>
            </w:r>
            <w:r w:rsidR="00CB1B5F">
              <w:rPr>
                <w:b/>
              </w:rPr>
              <w:t xml:space="preserve"> Accounting</w:t>
            </w:r>
            <w:r w:rsidRPr="002460B7">
              <w:rPr>
                <w:b/>
              </w:rPr>
              <w:t xml:space="preserve"> Standards. </w:t>
            </w:r>
          </w:p>
          <w:p w14:paraId="184CEBC6" w14:textId="77777777" w:rsidR="00B276D6" w:rsidRPr="002460B7" w:rsidRDefault="00B276D6" w:rsidP="00285527">
            <w:pPr>
              <w:pStyle w:val="ListBullet"/>
              <w:tabs>
                <w:tab w:val="clear" w:pos="709"/>
                <w:tab w:val="num" w:pos="567"/>
              </w:tabs>
              <w:ind w:left="567" w:hanging="567"/>
              <w:rPr>
                <w:b/>
              </w:rPr>
            </w:pPr>
            <w:r w:rsidRPr="002460B7">
              <w:rPr>
                <w:b/>
              </w:rPr>
              <w:t xml:space="preserve">The terms of the review engagement reflect the description of management’s responsibility for the financial statements in </w:t>
            </w:r>
            <w:r w:rsidR="00582B2A" w:rsidRPr="002460B7">
              <w:rPr>
                <w:b/>
              </w:rPr>
              <w:t>paragraph</w:t>
            </w:r>
            <w:r w:rsidR="00582B2A">
              <w:rPr>
                <w:b/>
              </w:rPr>
              <w:t> </w:t>
            </w:r>
            <w:r w:rsidR="00582B2A" w:rsidRPr="002460B7">
              <w:rPr>
                <w:b/>
              </w:rPr>
              <w:t>3</w:t>
            </w:r>
            <w:r w:rsidRPr="002460B7">
              <w:rPr>
                <w:b/>
              </w:rPr>
              <w:t xml:space="preserve">0(b) of this </w:t>
            </w:r>
            <w:r w:rsidR="006A62E2">
              <w:rPr>
                <w:b/>
              </w:rPr>
              <w:t>ASRE</w:t>
            </w:r>
            <w:r w:rsidRPr="002460B7">
              <w:rPr>
                <w:b/>
              </w:rPr>
              <w:t xml:space="preserve">. </w:t>
            </w:r>
          </w:p>
          <w:p w14:paraId="59FDD376" w14:textId="77777777" w:rsidR="00B276D6" w:rsidRPr="002460B7" w:rsidRDefault="00B276D6" w:rsidP="00285527">
            <w:pPr>
              <w:pStyle w:val="ListBullet"/>
              <w:tabs>
                <w:tab w:val="clear" w:pos="709"/>
                <w:tab w:val="num" w:pos="567"/>
              </w:tabs>
              <w:ind w:left="567" w:hanging="567"/>
              <w:rPr>
                <w:b/>
              </w:rPr>
            </w:pPr>
            <w:r w:rsidRPr="002460B7">
              <w:rPr>
                <w:b/>
              </w:rPr>
              <w:t>The financial statements are materially misstated due to the no</w:t>
            </w:r>
            <w:r w:rsidR="00582B2A" w:rsidRPr="002460B7">
              <w:rPr>
                <w:b/>
              </w:rPr>
              <w:t>n</w:t>
            </w:r>
            <w:r w:rsidR="00582B2A">
              <w:rPr>
                <w:b/>
              </w:rPr>
              <w:noBreakHyphen/>
            </w:r>
            <w:r w:rsidR="00582B2A" w:rsidRPr="002460B7">
              <w:rPr>
                <w:b/>
              </w:rPr>
              <w:t>c</w:t>
            </w:r>
            <w:r w:rsidRPr="002460B7">
              <w:rPr>
                <w:b/>
              </w:rPr>
              <w:t xml:space="preserve">onsolidation of a subsidiary. The material misstatement is deemed to be pervasive to the financial statements. The effects of the misstatement on the financial statements have not been determined because it was not practicable to do so. </w:t>
            </w:r>
          </w:p>
          <w:p w14:paraId="79A6291C" w14:textId="77777777" w:rsidR="00B276D6" w:rsidRPr="002460B7" w:rsidRDefault="00B276D6" w:rsidP="00285527">
            <w:pPr>
              <w:pStyle w:val="ListBullet"/>
              <w:tabs>
                <w:tab w:val="clear" w:pos="709"/>
                <w:tab w:val="num" w:pos="567"/>
              </w:tabs>
              <w:spacing w:after="0"/>
              <w:ind w:left="567" w:hanging="567"/>
              <w:rPr>
                <w:b/>
              </w:rPr>
            </w:pPr>
            <w:r w:rsidRPr="002460B7">
              <w:rPr>
                <w:b/>
              </w:rPr>
              <w:t xml:space="preserve">The </w:t>
            </w:r>
            <w:r w:rsidR="00C35FB0">
              <w:rPr>
                <w:b/>
              </w:rPr>
              <w:t>assurance practitioner</w:t>
            </w:r>
            <w:r w:rsidRPr="002460B7">
              <w:rPr>
                <w:b/>
              </w:rPr>
              <w:t xml:space="preserve"> does not have other reporting responsibilities under local law in addition to the review of the consolidated financial statements. </w:t>
            </w:r>
          </w:p>
          <w:p w14:paraId="76840FCE" w14:textId="77777777" w:rsidR="00B276D6" w:rsidRPr="00B276D6" w:rsidRDefault="00B276D6" w:rsidP="00B276D6"/>
        </w:tc>
      </w:tr>
    </w:tbl>
    <w:p w14:paraId="37AAC01C" w14:textId="77777777" w:rsidR="00B276D6" w:rsidRPr="00B276D6" w:rsidRDefault="00B276D6" w:rsidP="00171A1D">
      <w:pPr>
        <w:pStyle w:val="ParaPlain"/>
        <w:spacing w:before="240"/>
      </w:pPr>
      <w:r w:rsidRPr="00B276D6">
        <w:t xml:space="preserve">INDEPENDENT </w:t>
      </w:r>
      <w:r w:rsidR="00C35FB0">
        <w:t>ASSURANCE PRACTITIONER</w:t>
      </w:r>
      <w:r w:rsidRPr="00B276D6">
        <w:t xml:space="preserve">’S REVIEW REPORT </w:t>
      </w:r>
    </w:p>
    <w:p w14:paraId="2C98BFA6" w14:textId="77777777" w:rsidR="00B276D6" w:rsidRPr="00B276D6" w:rsidRDefault="00B276D6" w:rsidP="002E4107">
      <w:pPr>
        <w:pStyle w:val="ParaPlain"/>
      </w:pPr>
      <w:r w:rsidRPr="00B276D6">
        <w:t xml:space="preserve">[Appropriate Addressee] </w:t>
      </w:r>
    </w:p>
    <w:p w14:paraId="7AFD1619" w14:textId="77777777" w:rsidR="00B276D6" w:rsidRPr="00B276D6" w:rsidRDefault="00B276D6" w:rsidP="002E4107">
      <w:pPr>
        <w:pStyle w:val="Heading6"/>
      </w:pPr>
      <w:r w:rsidRPr="00B276D6">
        <w:t>Report on the Consolidated Financial Statements</w:t>
      </w:r>
      <w:r w:rsidR="00297D3E">
        <w:rPr>
          <w:rStyle w:val="FootnoteReference"/>
        </w:rPr>
        <w:footnoteReference w:id="8"/>
      </w:r>
      <w:r w:rsidRPr="00B276D6">
        <w:t xml:space="preserve"> </w:t>
      </w:r>
    </w:p>
    <w:p w14:paraId="5A45B245" w14:textId="77777777" w:rsidR="00B276D6" w:rsidRPr="00B276D6" w:rsidRDefault="00B276D6" w:rsidP="002E4107">
      <w:pPr>
        <w:pStyle w:val="ParaPlain"/>
      </w:pPr>
      <w:r w:rsidRPr="00B276D6">
        <w:t xml:space="preserve">We have reviewed the accompanying consolidated financial statements of ABC Company, which comprise the consolidated statement of financial position as at December 31, 20X1, and the consolidated statement of comprehensive income, statement of changes in equity and statement of cash flows for the year then ended, and a summary of significant accounting policies and other explanatory information. </w:t>
      </w:r>
    </w:p>
    <w:p w14:paraId="3ED4DE34" w14:textId="77777777" w:rsidR="00B276D6" w:rsidRPr="00B276D6" w:rsidRDefault="00B276D6" w:rsidP="002E4107">
      <w:pPr>
        <w:pStyle w:val="Heading7"/>
      </w:pPr>
      <w:r w:rsidRPr="00B276D6">
        <w:t>Management’s</w:t>
      </w:r>
      <w:r w:rsidR="00297D3E" w:rsidRPr="00297D3E">
        <w:rPr>
          <w:rStyle w:val="FootnoteReference"/>
          <w:i w:val="0"/>
        </w:rPr>
        <w:footnoteReference w:id="9"/>
      </w:r>
      <w:r w:rsidRPr="00B276D6">
        <w:t xml:space="preserve"> Responsibility for the Financial Statements </w:t>
      </w:r>
    </w:p>
    <w:p w14:paraId="075D4244" w14:textId="77777777" w:rsidR="00B276D6" w:rsidRPr="00B276D6" w:rsidRDefault="00B276D6" w:rsidP="002E4107">
      <w:pPr>
        <w:pStyle w:val="ParaPlain"/>
      </w:pPr>
      <w:r w:rsidRPr="00B276D6">
        <w:t xml:space="preserve">Management is responsible for the preparation and fair presentation of these consolidated financial statements in accordance with </w:t>
      </w:r>
      <w:r w:rsidR="00614675">
        <w:t>Australian</w:t>
      </w:r>
      <w:r w:rsidRPr="00B276D6">
        <w:t xml:space="preserve"> </w:t>
      </w:r>
      <w:r w:rsidR="00CB1B5F">
        <w:t>Accounting</w:t>
      </w:r>
      <w:r w:rsidRPr="00B276D6">
        <w:t xml:space="preserve"> Standards,</w:t>
      </w:r>
      <w:r w:rsidR="00297D3E">
        <w:rPr>
          <w:rStyle w:val="FootnoteReference"/>
        </w:rPr>
        <w:footnoteReference w:id="10"/>
      </w:r>
      <w:r w:rsidRPr="00B276D6">
        <w:t xml:space="preserve"> and for such internal control as management determines is necessary to enable the preparation of consolidated financial statements that are free from material misstatement, whether due to fraud or error. </w:t>
      </w:r>
    </w:p>
    <w:p w14:paraId="1FC3E839" w14:textId="77777777" w:rsidR="00B276D6" w:rsidRPr="00B276D6" w:rsidRDefault="00C35FB0" w:rsidP="002E4107">
      <w:pPr>
        <w:pStyle w:val="Heading7"/>
      </w:pPr>
      <w:r>
        <w:t>Assurance practitioner</w:t>
      </w:r>
      <w:r w:rsidR="00B276D6" w:rsidRPr="00B276D6">
        <w:t xml:space="preserve">’s Responsibility </w:t>
      </w:r>
    </w:p>
    <w:p w14:paraId="39B08B0E" w14:textId="77777777" w:rsidR="00B276D6" w:rsidRPr="00B276D6" w:rsidRDefault="00B276D6" w:rsidP="002E4107">
      <w:pPr>
        <w:pStyle w:val="ParaPlain"/>
      </w:pPr>
      <w:r w:rsidRPr="00B276D6">
        <w:t xml:space="preserve">Our responsibility is to express a conclusion on the accompanying consolidated financial statements. </w:t>
      </w:r>
      <w:r w:rsidR="00020842">
        <w:t xml:space="preserve"> </w:t>
      </w:r>
      <w:r w:rsidRPr="00B276D6">
        <w:t xml:space="preserve">We conducted our review in accordance with Standard on Review Engagements </w:t>
      </w:r>
      <w:r w:rsidR="006A62E2">
        <w:t>ASRE</w:t>
      </w:r>
      <w:r w:rsidRPr="00B276D6">
        <w:t xml:space="preserve"> 2400, </w:t>
      </w:r>
      <w:r w:rsidR="00CB1B5F" w:rsidRPr="00CB1B5F">
        <w:rPr>
          <w:i/>
        </w:rPr>
        <w:t>Review of a Financial Report Performed by an Assurance Practitioner Who is Not the Auditor of the Entity</w:t>
      </w:r>
      <w:r w:rsidR="00CB1B5F">
        <w:t xml:space="preserve"> </w:t>
      </w:r>
      <w:r w:rsidR="00582B2A">
        <w:t>ASRE </w:t>
      </w:r>
      <w:r w:rsidR="00582B2A" w:rsidRPr="00B276D6">
        <w:t>2</w:t>
      </w:r>
      <w:r w:rsidRPr="00B276D6">
        <w:t xml:space="preserve">400 requires us to conclude whether anything has come to our attention that causes us to believe that the consolidated financial statements, taken as a whole, are not prepared in all material respects in accordance with the applicable financial reporting framework. </w:t>
      </w:r>
      <w:r w:rsidR="00020842">
        <w:t xml:space="preserve"> </w:t>
      </w:r>
      <w:r w:rsidRPr="00B276D6">
        <w:t xml:space="preserve">This Standard also requires us to comply with relevant ethical requirements. </w:t>
      </w:r>
    </w:p>
    <w:p w14:paraId="44D36257" w14:textId="77777777" w:rsidR="00B276D6" w:rsidRPr="00B276D6" w:rsidRDefault="00B276D6" w:rsidP="002E4107">
      <w:pPr>
        <w:pStyle w:val="ParaPlain"/>
      </w:pPr>
      <w:r w:rsidRPr="00B276D6">
        <w:t xml:space="preserve">A review of consolidated financial statements in accordance with </w:t>
      </w:r>
      <w:r w:rsidR="00582B2A">
        <w:t>ASRE </w:t>
      </w:r>
      <w:r w:rsidR="00582B2A" w:rsidRPr="00B276D6">
        <w:t>2</w:t>
      </w:r>
      <w:r w:rsidRPr="00B276D6">
        <w:t xml:space="preserve">400 is a limited assurance engagement. </w:t>
      </w:r>
      <w:r w:rsidR="00020842">
        <w:t xml:space="preserve"> </w:t>
      </w:r>
      <w:r w:rsidRPr="00B276D6">
        <w:t xml:space="preserve">The </w:t>
      </w:r>
      <w:r w:rsidR="00C35FB0">
        <w:t>assurance practitioner</w:t>
      </w:r>
      <w:r w:rsidRPr="00B276D6">
        <w:t xml:space="preserve"> performs procedures, primarily consisting of making </w:t>
      </w:r>
      <w:r w:rsidR="00614675">
        <w:lastRenderedPageBreak/>
        <w:t>enquiries</w:t>
      </w:r>
      <w:r w:rsidRPr="00B276D6">
        <w:t xml:space="preserve"> of management and others within the entity, as appropriate, and applying analytical procedures, and evaluates the evidence obtained. </w:t>
      </w:r>
    </w:p>
    <w:p w14:paraId="7C707DAA" w14:textId="77777777" w:rsidR="00B276D6" w:rsidRPr="00B276D6" w:rsidRDefault="00B276D6" w:rsidP="002E4107">
      <w:pPr>
        <w:pStyle w:val="ParaPlain"/>
      </w:pPr>
      <w:r w:rsidRPr="00B276D6">
        <w:t xml:space="preserve">The procedures performed in a review are substantially less than those performed in an audit conducted in accordance with </w:t>
      </w:r>
      <w:r w:rsidR="00614675">
        <w:t>Australian</w:t>
      </w:r>
      <w:r w:rsidRPr="00B276D6">
        <w:t xml:space="preserve"> </w:t>
      </w:r>
      <w:r w:rsidR="00295A84">
        <w:t xml:space="preserve">Auditing </w:t>
      </w:r>
      <w:r w:rsidRPr="00B276D6">
        <w:t xml:space="preserve">Standards. </w:t>
      </w:r>
      <w:r w:rsidR="00020842">
        <w:t xml:space="preserve"> </w:t>
      </w:r>
      <w:r w:rsidRPr="00B276D6">
        <w:t xml:space="preserve">Accordingly, we do not express an audit opinion on these consolidated financial statements. </w:t>
      </w:r>
    </w:p>
    <w:p w14:paraId="0291EFB4" w14:textId="77777777" w:rsidR="00B276D6" w:rsidRPr="00B276D6" w:rsidRDefault="00B276D6" w:rsidP="002E4107">
      <w:pPr>
        <w:pStyle w:val="Heading7"/>
      </w:pPr>
      <w:r w:rsidRPr="00B276D6">
        <w:t xml:space="preserve">Basis for Adverse Conclusion </w:t>
      </w:r>
    </w:p>
    <w:p w14:paraId="33A57321" w14:textId="77777777" w:rsidR="00B276D6" w:rsidRPr="00B276D6" w:rsidRDefault="00B276D6" w:rsidP="002E4107">
      <w:pPr>
        <w:pStyle w:val="ParaPlain"/>
      </w:pPr>
      <w:r w:rsidRPr="00B276D6">
        <w:t xml:space="preserve">As explained in Note X, the company has not consolidated the financial statements of subsidiary XYZ Company it acquired during 20X1 because it has not yet been able to ascertain the fair values of certain of the subsidiary’s material assets and liabilities at the acquisition date. </w:t>
      </w:r>
      <w:r w:rsidR="00020842">
        <w:t xml:space="preserve"> </w:t>
      </w:r>
      <w:r w:rsidRPr="00B276D6">
        <w:t xml:space="preserve">This investment is therefore accounted for on a cost basis. </w:t>
      </w:r>
      <w:r w:rsidR="00020842">
        <w:t xml:space="preserve"> </w:t>
      </w:r>
      <w:r w:rsidRPr="00B276D6">
        <w:t xml:space="preserve">Under </w:t>
      </w:r>
      <w:r w:rsidR="00614675">
        <w:t>Australian</w:t>
      </w:r>
      <w:r w:rsidR="005F2471">
        <w:t xml:space="preserve"> Accounting</w:t>
      </w:r>
      <w:r w:rsidRPr="00B276D6">
        <w:t xml:space="preserve"> Standards, the subsidiary should have been consolidated because it is controlled by the company. </w:t>
      </w:r>
      <w:r w:rsidR="00020842">
        <w:t xml:space="preserve"> </w:t>
      </w:r>
      <w:r w:rsidRPr="00B276D6">
        <w:t xml:space="preserve">Had XYZ been consolidated, many elements in the accompanying financial statements would have been materially affected. </w:t>
      </w:r>
    </w:p>
    <w:p w14:paraId="6D3E8F4E" w14:textId="77777777" w:rsidR="00B276D6" w:rsidRPr="00B276D6" w:rsidRDefault="00B276D6" w:rsidP="002E4107">
      <w:pPr>
        <w:pStyle w:val="Heading7"/>
      </w:pPr>
      <w:r w:rsidRPr="00B276D6">
        <w:t xml:space="preserve">Adverse Conclusion </w:t>
      </w:r>
    </w:p>
    <w:p w14:paraId="140C9DC6" w14:textId="77777777" w:rsidR="00B276D6" w:rsidRPr="00B276D6" w:rsidRDefault="00B276D6" w:rsidP="002E4107">
      <w:pPr>
        <w:pStyle w:val="ParaPlain"/>
      </w:pPr>
      <w:r w:rsidRPr="00B276D6">
        <w:t xml:space="preserve">Based on our review, due to the significance of the matter discussed in the Basis for Adverse Conclusion paragraph, the consolidated financial statements do not present fairly (or </w:t>
      </w:r>
      <w:r w:rsidRPr="00B276D6">
        <w:rPr>
          <w:i/>
          <w:iCs/>
        </w:rPr>
        <w:t>do not give a true and fair view of</w:t>
      </w:r>
      <w:r w:rsidRPr="00B276D6">
        <w:t>) the financial position of ABC Company and its subsidiaries as at December</w:t>
      </w:r>
      <w:r w:rsidR="004749AE">
        <w:t> </w:t>
      </w:r>
      <w:r w:rsidRPr="00B276D6">
        <w:t>31,</w:t>
      </w:r>
      <w:r w:rsidR="004749AE">
        <w:t> </w:t>
      </w:r>
      <w:r w:rsidRPr="00B276D6">
        <w:t>20X1, and (</w:t>
      </w:r>
      <w:r w:rsidRPr="00B276D6">
        <w:rPr>
          <w:i/>
          <w:iCs/>
        </w:rPr>
        <w:t>of</w:t>
      </w:r>
      <w:r w:rsidRPr="00B276D6">
        <w:t xml:space="preserve">) their financial performance and cash flows for the year then ended in accordance with </w:t>
      </w:r>
      <w:r w:rsidR="00614675">
        <w:t>Australian</w:t>
      </w:r>
      <w:r w:rsidRPr="00B276D6">
        <w:t xml:space="preserve"> </w:t>
      </w:r>
      <w:r w:rsidR="005F2471">
        <w:t xml:space="preserve">Accounting </w:t>
      </w:r>
      <w:r w:rsidRPr="00B276D6">
        <w:t xml:space="preserve">Standards. </w:t>
      </w:r>
    </w:p>
    <w:p w14:paraId="430D60EA" w14:textId="77777777" w:rsidR="00B276D6" w:rsidRPr="00B276D6" w:rsidRDefault="00B276D6" w:rsidP="002E4107">
      <w:pPr>
        <w:pStyle w:val="Heading6"/>
      </w:pPr>
      <w:r w:rsidRPr="00B276D6">
        <w:t xml:space="preserve">Report on Other Legal and Regulatory Requirements </w:t>
      </w:r>
    </w:p>
    <w:p w14:paraId="734BBC62" w14:textId="77777777" w:rsidR="00B276D6" w:rsidRPr="00B276D6" w:rsidRDefault="00B276D6" w:rsidP="002E4107">
      <w:pPr>
        <w:pStyle w:val="ParaPlain"/>
      </w:pPr>
      <w:r w:rsidRPr="00B276D6">
        <w:t xml:space="preserve">[Form and content of this section of the </w:t>
      </w:r>
      <w:r w:rsidR="00C35FB0">
        <w:t>assurance practitioner</w:t>
      </w:r>
      <w:r w:rsidRPr="00B276D6">
        <w:t xml:space="preserve">’s report will vary depending on the nature of the </w:t>
      </w:r>
      <w:r w:rsidR="00C35FB0">
        <w:t>assurance practitioner</w:t>
      </w:r>
      <w:r w:rsidRPr="00B276D6">
        <w:t xml:space="preserve">’s other reporting responsibilities.] </w:t>
      </w:r>
    </w:p>
    <w:p w14:paraId="3B86F177" w14:textId="77777777" w:rsidR="00B276D6" w:rsidRPr="00B276D6" w:rsidRDefault="00B276D6" w:rsidP="002E4107">
      <w:pPr>
        <w:pStyle w:val="ParaPlain"/>
      </w:pPr>
      <w:r w:rsidRPr="00B276D6">
        <w:t>[</w:t>
      </w:r>
      <w:r w:rsidR="00C35FB0">
        <w:t>Assurance practitioner</w:t>
      </w:r>
      <w:r w:rsidRPr="00B276D6">
        <w:t xml:space="preserve">’s signature] </w:t>
      </w:r>
    </w:p>
    <w:p w14:paraId="42EA316E" w14:textId="77777777" w:rsidR="00B276D6" w:rsidRPr="00B276D6" w:rsidRDefault="00B276D6" w:rsidP="002E4107">
      <w:pPr>
        <w:pStyle w:val="ParaPlain"/>
      </w:pPr>
      <w:r w:rsidRPr="00B276D6">
        <w:t xml:space="preserve">[Date of the </w:t>
      </w:r>
      <w:r w:rsidR="00C35FB0">
        <w:t>assurance practitioner</w:t>
      </w:r>
      <w:r w:rsidRPr="00B276D6">
        <w:t xml:space="preserve">’s report] </w:t>
      </w:r>
    </w:p>
    <w:p w14:paraId="2D772294" w14:textId="77777777" w:rsidR="00B276D6" w:rsidRDefault="00B276D6" w:rsidP="00171A1D">
      <w:pPr>
        <w:pStyle w:val="ParaPlain"/>
      </w:pPr>
      <w:r w:rsidRPr="00B276D6">
        <w:t>[</w:t>
      </w:r>
      <w:r w:rsidR="00C35FB0">
        <w:t>Assurance practitioner</w:t>
      </w:r>
      <w:r w:rsidRPr="00B276D6">
        <w:t>’s address]</w:t>
      </w:r>
      <w:r>
        <w:br w:type="page"/>
      </w:r>
    </w:p>
    <w:tbl>
      <w:tblPr>
        <w:tblW w:w="0" w:type="auto"/>
        <w:tblBorders>
          <w:top w:val="nil"/>
          <w:left w:val="nil"/>
          <w:bottom w:val="nil"/>
          <w:right w:val="nil"/>
        </w:tblBorders>
        <w:tblLayout w:type="fixed"/>
        <w:tblLook w:val="0000" w:firstRow="0" w:lastRow="0" w:firstColumn="0" w:lastColumn="0" w:noHBand="0" w:noVBand="0"/>
        <w:tblCaption w:val="Illustrative Assurance practitioners’ Review Reports "/>
        <w:tblDescription w:val="Illustration 5"/>
      </w:tblPr>
      <w:tblGrid>
        <w:gridCol w:w="9242"/>
      </w:tblGrid>
      <w:tr w:rsidR="00B276D6" w:rsidRPr="00B276D6" w14:paraId="32C44474" w14:textId="77777777" w:rsidTr="00BF6320">
        <w:trPr>
          <w:trHeight w:val="1732"/>
        </w:trPr>
        <w:tc>
          <w:tcPr>
            <w:tcW w:w="9242" w:type="dxa"/>
            <w:tcBorders>
              <w:top w:val="single" w:sz="4" w:space="0" w:color="auto"/>
              <w:left w:val="single" w:sz="4" w:space="0" w:color="auto"/>
              <w:bottom w:val="single" w:sz="4" w:space="0" w:color="auto"/>
              <w:right w:val="single" w:sz="4" w:space="0" w:color="auto"/>
            </w:tcBorders>
          </w:tcPr>
          <w:p w14:paraId="4E764488" w14:textId="77777777" w:rsidR="00B276D6" w:rsidRPr="00BF6320" w:rsidRDefault="00B276D6" w:rsidP="00BF6320">
            <w:pPr>
              <w:pStyle w:val="ParaPlain"/>
              <w:spacing w:before="120"/>
              <w:rPr>
                <w:b/>
                <w:u w:val="single"/>
              </w:rPr>
            </w:pPr>
            <w:r w:rsidRPr="00BF6320">
              <w:rPr>
                <w:b/>
                <w:u w:val="single"/>
              </w:rPr>
              <w:lastRenderedPageBreak/>
              <w:t xml:space="preserve">Illustration 5 </w:t>
            </w:r>
          </w:p>
          <w:p w14:paraId="2A2FFB29" w14:textId="77777777" w:rsidR="00B276D6" w:rsidRPr="00BF6320" w:rsidRDefault="00B276D6" w:rsidP="00BF6320">
            <w:pPr>
              <w:pStyle w:val="ParaPlain"/>
              <w:rPr>
                <w:b/>
              </w:rPr>
            </w:pPr>
            <w:r w:rsidRPr="00BF6320">
              <w:rPr>
                <w:b/>
              </w:rPr>
              <w:t xml:space="preserve">Circumstances include the following: </w:t>
            </w:r>
          </w:p>
          <w:p w14:paraId="0DC32100" w14:textId="77777777" w:rsidR="00B276D6" w:rsidRPr="00BF6320" w:rsidRDefault="00B276D6" w:rsidP="00BF6320">
            <w:pPr>
              <w:pStyle w:val="ListBullet"/>
              <w:tabs>
                <w:tab w:val="clear" w:pos="709"/>
                <w:tab w:val="num" w:pos="567"/>
              </w:tabs>
              <w:ind w:left="567" w:hanging="567"/>
              <w:rPr>
                <w:b/>
              </w:rPr>
            </w:pPr>
            <w:r w:rsidRPr="00BF6320">
              <w:rPr>
                <w:b/>
              </w:rPr>
              <w:t xml:space="preserve">Review of a complete set of general purpose financial statements prepared by management of the entity in accordance with </w:t>
            </w:r>
            <w:r w:rsidR="00614675">
              <w:rPr>
                <w:b/>
              </w:rPr>
              <w:t>Australian</w:t>
            </w:r>
            <w:r w:rsidRPr="00BF6320">
              <w:rPr>
                <w:b/>
              </w:rPr>
              <w:t xml:space="preserve"> </w:t>
            </w:r>
            <w:r w:rsidR="007C49FD">
              <w:rPr>
                <w:b/>
              </w:rPr>
              <w:t xml:space="preserve">Accounting </w:t>
            </w:r>
            <w:r w:rsidRPr="00BF6320">
              <w:rPr>
                <w:b/>
              </w:rPr>
              <w:t xml:space="preserve">Standards. </w:t>
            </w:r>
          </w:p>
          <w:p w14:paraId="11D5ACF5" w14:textId="77777777" w:rsidR="00B276D6" w:rsidRPr="00BF6320" w:rsidRDefault="00B276D6" w:rsidP="00BF6320">
            <w:pPr>
              <w:pStyle w:val="ListBullet"/>
              <w:tabs>
                <w:tab w:val="clear" w:pos="709"/>
                <w:tab w:val="num" w:pos="567"/>
              </w:tabs>
              <w:ind w:left="567" w:hanging="567"/>
              <w:rPr>
                <w:b/>
              </w:rPr>
            </w:pPr>
            <w:r w:rsidRPr="00BF6320">
              <w:rPr>
                <w:b/>
              </w:rPr>
              <w:t xml:space="preserve">The terms of the review engagement reflect the description of management’s responsibility for the financial statements in </w:t>
            </w:r>
            <w:r w:rsidR="00582B2A" w:rsidRPr="00BF6320">
              <w:rPr>
                <w:b/>
              </w:rPr>
              <w:t>paragraph</w:t>
            </w:r>
            <w:r w:rsidR="00582B2A">
              <w:rPr>
                <w:b/>
              </w:rPr>
              <w:t> </w:t>
            </w:r>
            <w:r w:rsidR="00582B2A" w:rsidRPr="00BF6320">
              <w:rPr>
                <w:b/>
              </w:rPr>
              <w:t>3</w:t>
            </w:r>
            <w:r w:rsidRPr="00BF6320">
              <w:rPr>
                <w:b/>
              </w:rPr>
              <w:t xml:space="preserve">0(b) of this </w:t>
            </w:r>
            <w:r w:rsidR="006A62E2">
              <w:rPr>
                <w:b/>
              </w:rPr>
              <w:t>ASRE</w:t>
            </w:r>
            <w:r w:rsidRPr="00BF6320">
              <w:rPr>
                <w:b/>
              </w:rPr>
              <w:t xml:space="preserve">. </w:t>
            </w:r>
          </w:p>
          <w:p w14:paraId="4D58F012" w14:textId="77777777" w:rsidR="00B276D6" w:rsidRPr="00BF6320" w:rsidRDefault="00B276D6" w:rsidP="00BF6320">
            <w:pPr>
              <w:pStyle w:val="ListBullet"/>
              <w:tabs>
                <w:tab w:val="clear" w:pos="709"/>
                <w:tab w:val="num" w:pos="567"/>
              </w:tabs>
              <w:spacing w:after="0"/>
              <w:ind w:left="567" w:hanging="567"/>
              <w:rPr>
                <w:b/>
              </w:rPr>
            </w:pPr>
            <w:r w:rsidRPr="00BF6320">
              <w:rPr>
                <w:b/>
              </w:rPr>
              <w:t xml:space="preserve">The </w:t>
            </w:r>
            <w:r w:rsidR="00C35FB0">
              <w:rPr>
                <w:b/>
              </w:rPr>
              <w:t>assurance practitioner</w:t>
            </w:r>
            <w:r w:rsidRPr="00BF6320">
              <w:rPr>
                <w:b/>
              </w:rPr>
              <w:t xml:space="preserve"> was unable to form a conclusion on the financial statements, due to inability to obtain sufficient appropriate evidence about multiple elements of the financial statements, and the </w:t>
            </w:r>
            <w:r w:rsidR="00C35FB0">
              <w:rPr>
                <w:b/>
              </w:rPr>
              <w:t>assurance practitioner</w:t>
            </w:r>
            <w:r w:rsidRPr="00BF6320">
              <w:rPr>
                <w:b/>
              </w:rPr>
              <w:t xml:space="preserve"> believes the effect is material and pervasive to the financial statements. Specifically, the </w:t>
            </w:r>
            <w:r w:rsidR="00C35FB0">
              <w:rPr>
                <w:b/>
              </w:rPr>
              <w:t>assurance practitioner</w:t>
            </w:r>
            <w:r w:rsidRPr="00BF6320">
              <w:rPr>
                <w:b/>
              </w:rPr>
              <w:t xml:space="preserve"> was unable to obtain evidence about the entity’s physical inventory and accounts receivable. </w:t>
            </w:r>
          </w:p>
          <w:p w14:paraId="67FEBDCD" w14:textId="77777777" w:rsidR="00B276D6" w:rsidRPr="00B276D6" w:rsidRDefault="00B276D6" w:rsidP="00B276D6"/>
        </w:tc>
      </w:tr>
    </w:tbl>
    <w:p w14:paraId="2E82EDF5" w14:textId="77777777" w:rsidR="00B276D6" w:rsidRPr="00B276D6" w:rsidRDefault="00B276D6" w:rsidP="00171A1D">
      <w:pPr>
        <w:pStyle w:val="ParaPlain"/>
        <w:spacing w:before="240"/>
      </w:pPr>
      <w:r w:rsidRPr="00B276D6">
        <w:t xml:space="preserve">INDEPENDENT </w:t>
      </w:r>
      <w:r w:rsidR="00C35FB0">
        <w:t>ASSURANCE PRACTITIONER</w:t>
      </w:r>
      <w:r w:rsidRPr="00B276D6">
        <w:t xml:space="preserve">’S REVIEW REPORT </w:t>
      </w:r>
    </w:p>
    <w:p w14:paraId="6FEFA558" w14:textId="77777777" w:rsidR="00B276D6" w:rsidRPr="00B276D6" w:rsidRDefault="00B276D6" w:rsidP="000651BD">
      <w:pPr>
        <w:pStyle w:val="ParaPlain"/>
      </w:pPr>
      <w:r w:rsidRPr="00B276D6">
        <w:t xml:space="preserve">[Appropriate Addressee] </w:t>
      </w:r>
    </w:p>
    <w:p w14:paraId="57A71CE6" w14:textId="77777777" w:rsidR="00B276D6" w:rsidRPr="00B276D6" w:rsidRDefault="00B276D6" w:rsidP="000651BD">
      <w:pPr>
        <w:pStyle w:val="ParaPlain"/>
      </w:pPr>
      <w:r w:rsidRPr="00B276D6">
        <w:t xml:space="preserve">We were engaged to review the accompanying financial statements of ABC Company, which comprise the statement of financial position as at December 31, 20X1, and the statement of comprehensive income, statement of changes in equity and statement of cash flows for the year then ended, and a summary of significant accounting policies and other explanatory information. </w:t>
      </w:r>
    </w:p>
    <w:p w14:paraId="410C8E2E" w14:textId="77777777" w:rsidR="00B276D6" w:rsidRPr="00B276D6" w:rsidRDefault="00B276D6" w:rsidP="000651BD">
      <w:pPr>
        <w:pStyle w:val="Heading7"/>
      </w:pPr>
      <w:r w:rsidRPr="00B276D6">
        <w:t>Management’s</w:t>
      </w:r>
      <w:r w:rsidR="00F211DD" w:rsidRPr="00F211DD">
        <w:rPr>
          <w:rStyle w:val="FootnoteReference"/>
          <w:i w:val="0"/>
        </w:rPr>
        <w:footnoteReference w:id="11"/>
      </w:r>
      <w:r w:rsidRPr="00B276D6">
        <w:t xml:space="preserve"> Responsibility for the Financial Statements </w:t>
      </w:r>
    </w:p>
    <w:p w14:paraId="19B74066" w14:textId="77777777" w:rsidR="00B276D6" w:rsidRPr="00B276D6" w:rsidRDefault="00B276D6" w:rsidP="000651BD">
      <w:pPr>
        <w:pStyle w:val="ParaPlain"/>
      </w:pPr>
      <w:r w:rsidRPr="00B276D6">
        <w:t xml:space="preserve">Management is responsible for the preparation and fair presentation of these financial statements in accordance with </w:t>
      </w:r>
      <w:r w:rsidR="00614675">
        <w:t>Australian</w:t>
      </w:r>
      <w:r w:rsidRPr="00B276D6">
        <w:t xml:space="preserve"> </w:t>
      </w:r>
      <w:r w:rsidR="007C49FD">
        <w:t>Accounting</w:t>
      </w:r>
      <w:r w:rsidRPr="00B276D6">
        <w:t xml:space="preserve"> Standards,</w:t>
      </w:r>
      <w:r w:rsidR="00F211DD">
        <w:rPr>
          <w:rStyle w:val="FootnoteReference"/>
        </w:rPr>
        <w:footnoteReference w:id="12"/>
      </w:r>
      <w:r w:rsidRPr="00B276D6">
        <w:t xml:space="preserve"> and for such internal control as management determines is necessary to enable the preparation of financial statements that are free from material misstatement, whether due to fraud or error. </w:t>
      </w:r>
    </w:p>
    <w:p w14:paraId="262E39AF" w14:textId="77777777" w:rsidR="00B276D6" w:rsidRPr="00B276D6" w:rsidRDefault="00C35FB0" w:rsidP="000651BD">
      <w:pPr>
        <w:pStyle w:val="Heading7"/>
      </w:pPr>
      <w:r>
        <w:t>Assurance practitioner</w:t>
      </w:r>
      <w:r w:rsidR="00B276D6" w:rsidRPr="00B276D6">
        <w:t xml:space="preserve">’s Responsibility </w:t>
      </w:r>
    </w:p>
    <w:p w14:paraId="5667C3FE" w14:textId="77777777" w:rsidR="00B276D6" w:rsidRPr="00B276D6" w:rsidRDefault="00B276D6" w:rsidP="000651BD">
      <w:pPr>
        <w:pStyle w:val="ParaPlain"/>
      </w:pPr>
      <w:r w:rsidRPr="00B276D6">
        <w:t xml:space="preserve">Our responsibility is to express a conclusion on the accompanying financial statements. Because of the matter(s) described in the Basis for Disclaimer of Conclusion paragraph, however, we were not able to obtain sufficient appropriate evidence as a basis for expressing a conclusion on the financial statements. </w:t>
      </w:r>
    </w:p>
    <w:p w14:paraId="65D6C3CF" w14:textId="77777777" w:rsidR="00B276D6" w:rsidRPr="00B276D6" w:rsidRDefault="00B276D6" w:rsidP="000651BD">
      <w:pPr>
        <w:pStyle w:val="Heading7"/>
      </w:pPr>
      <w:r w:rsidRPr="00B276D6">
        <w:t xml:space="preserve">Basis for Disclaimer of Conclusion </w:t>
      </w:r>
    </w:p>
    <w:p w14:paraId="7B22C28C" w14:textId="77777777" w:rsidR="00B276D6" w:rsidRPr="00B276D6" w:rsidRDefault="00B276D6" w:rsidP="000651BD">
      <w:pPr>
        <w:pStyle w:val="ParaPlain"/>
      </w:pPr>
      <w:r w:rsidRPr="00B276D6">
        <w:t xml:space="preserve">Management did not conduct a count of physical inventory on hand at the end of the year. </w:t>
      </w:r>
      <w:r w:rsidR="006564F3">
        <w:t xml:space="preserve"> </w:t>
      </w:r>
      <w:r w:rsidRPr="00B276D6">
        <w:t>We were unable to perform the procedures we considered necessary concerning the inventory quantities held at December 31, 20X1, which are stated at xxx in the statement of financial position at December</w:t>
      </w:r>
      <w:r w:rsidR="003151B5">
        <w:t> </w:t>
      </w:r>
      <w:r w:rsidRPr="00B276D6">
        <w:t>31,</w:t>
      </w:r>
      <w:r w:rsidR="003151B5">
        <w:t> </w:t>
      </w:r>
      <w:r w:rsidRPr="00B276D6">
        <w:t xml:space="preserve">20X1. </w:t>
      </w:r>
    </w:p>
    <w:p w14:paraId="7F8E79B4" w14:textId="77777777" w:rsidR="00B276D6" w:rsidRPr="00B276D6" w:rsidRDefault="00B276D6" w:rsidP="000651BD">
      <w:pPr>
        <w:pStyle w:val="ParaPlain"/>
      </w:pPr>
      <w:r w:rsidRPr="00B276D6">
        <w:t xml:space="preserve">In addition, the introduction of a new </w:t>
      </w:r>
      <w:r w:rsidR="00614675">
        <w:t>computerise</w:t>
      </w:r>
      <w:r w:rsidRPr="00B276D6">
        <w:t xml:space="preserve">d accounts receivable system in September 20X1 resulted in numerous errors in accounts receivable and inventory. </w:t>
      </w:r>
      <w:r w:rsidR="006564F3">
        <w:t xml:space="preserve"> </w:t>
      </w:r>
      <w:r w:rsidRPr="00B276D6">
        <w:t>As of the date of our report, management was still in the process of rectifying the system deficiencies and correcting the errors.</w:t>
      </w:r>
      <w:r w:rsidR="006564F3">
        <w:t xml:space="preserve"> </w:t>
      </w:r>
      <w:r w:rsidRPr="00B276D6">
        <w:t xml:space="preserve"> As a result of these matters, we were unable to determine whether any adjustments might have been found necessary in respect of recorded or unrecorded inventories and accounts receivable, and the elements </w:t>
      </w:r>
      <w:r w:rsidRPr="00B276D6">
        <w:lastRenderedPageBreak/>
        <w:t xml:space="preserve">making up the statement of comprehensive income, statement of changes in equity and statement of cash flows. </w:t>
      </w:r>
    </w:p>
    <w:p w14:paraId="17DFF08B" w14:textId="77777777" w:rsidR="00B276D6" w:rsidRPr="00B276D6" w:rsidRDefault="00B276D6" w:rsidP="000651BD">
      <w:pPr>
        <w:pStyle w:val="Heading7"/>
      </w:pPr>
      <w:r w:rsidRPr="00B276D6">
        <w:t xml:space="preserve">Disclaimer of Conclusion </w:t>
      </w:r>
    </w:p>
    <w:p w14:paraId="051BCB9B" w14:textId="77777777" w:rsidR="00B276D6" w:rsidRPr="00B276D6" w:rsidRDefault="00B276D6" w:rsidP="000651BD">
      <w:pPr>
        <w:pStyle w:val="ParaPlain"/>
      </w:pPr>
      <w:r w:rsidRPr="00B276D6">
        <w:t xml:space="preserve">Due to the significance of the matters described in the Basis for Disclaimer of Conclusion paragraph, we were unable to obtain sufficient appropriate evidence to form a conclusion on the accompanying financial statements. </w:t>
      </w:r>
      <w:r w:rsidR="00987C4B">
        <w:t xml:space="preserve"> </w:t>
      </w:r>
      <w:r w:rsidRPr="00B276D6">
        <w:t xml:space="preserve">Accordingly, we do not express a conclusion on these financial statements. </w:t>
      </w:r>
    </w:p>
    <w:p w14:paraId="165EBB40" w14:textId="77777777" w:rsidR="00B276D6" w:rsidRPr="00B276D6" w:rsidRDefault="00B276D6" w:rsidP="000651BD">
      <w:pPr>
        <w:pStyle w:val="ParaPlain"/>
      </w:pPr>
      <w:r w:rsidRPr="00B276D6">
        <w:t>[</w:t>
      </w:r>
      <w:r w:rsidR="00C35FB0">
        <w:t>Assurance practitioner</w:t>
      </w:r>
      <w:r w:rsidRPr="00B276D6">
        <w:t xml:space="preserve">’s signature] </w:t>
      </w:r>
    </w:p>
    <w:p w14:paraId="4B4233BB" w14:textId="77777777" w:rsidR="00B276D6" w:rsidRPr="00B276D6" w:rsidRDefault="00B276D6" w:rsidP="000651BD">
      <w:pPr>
        <w:pStyle w:val="ParaPlain"/>
      </w:pPr>
      <w:r w:rsidRPr="00B276D6">
        <w:t xml:space="preserve">[Date of the </w:t>
      </w:r>
      <w:r w:rsidR="00C35FB0">
        <w:t>assurance practitioner</w:t>
      </w:r>
      <w:r w:rsidRPr="00B276D6">
        <w:t xml:space="preserve">’s report] </w:t>
      </w:r>
    </w:p>
    <w:p w14:paraId="45C77097" w14:textId="77777777" w:rsidR="00B276D6" w:rsidRDefault="00B276D6" w:rsidP="00171A1D">
      <w:pPr>
        <w:pStyle w:val="ParaPlain"/>
      </w:pPr>
      <w:r w:rsidRPr="00B276D6">
        <w:t>[</w:t>
      </w:r>
      <w:r w:rsidR="00C35FB0">
        <w:t>Assurance practitioner</w:t>
      </w:r>
      <w:r w:rsidRPr="00B276D6">
        <w:t>’s address]</w:t>
      </w:r>
      <w:r>
        <w:br w:type="page"/>
      </w:r>
    </w:p>
    <w:tbl>
      <w:tblPr>
        <w:tblW w:w="0" w:type="auto"/>
        <w:tblBorders>
          <w:top w:val="nil"/>
          <w:left w:val="nil"/>
          <w:bottom w:val="nil"/>
          <w:right w:val="nil"/>
        </w:tblBorders>
        <w:tblLayout w:type="fixed"/>
        <w:tblLook w:val="0000" w:firstRow="0" w:lastRow="0" w:firstColumn="0" w:lastColumn="0" w:noHBand="0" w:noVBand="0"/>
        <w:tblCaption w:val="Illustrative Assurance practitioners’ Review Reports "/>
        <w:tblDescription w:val="Illustration 6"/>
      </w:tblPr>
      <w:tblGrid>
        <w:gridCol w:w="9149"/>
      </w:tblGrid>
      <w:tr w:rsidR="00B276D6" w:rsidRPr="00B276D6" w14:paraId="3EFB86C3" w14:textId="77777777" w:rsidTr="00016C03">
        <w:trPr>
          <w:trHeight w:val="1653"/>
        </w:trPr>
        <w:tc>
          <w:tcPr>
            <w:tcW w:w="9149" w:type="dxa"/>
            <w:tcBorders>
              <w:top w:val="single" w:sz="4" w:space="0" w:color="auto"/>
              <w:left w:val="single" w:sz="4" w:space="0" w:color="auto"/>
              <w:bottom w:val="single" w:sz="4" w:space="0" w:color="auto"/>
              <w:right w:val="single" w:sz="4" w:space="0" w:color="auto"/>
            </w:tcBorders>
          </w:tcPr>
          <w:p w14:paraId="0F371AAA" w14:textId="77777777" w:rsidR="00B276D6" w:rsidRPr="00016C03" w:rsidRDefault="00B276D6" w:rsidP="00016C03">
            <w:pPr>
              <w:pStyle w:val="ParaPlain"/>
              <w:spacing w:before="120"/>
              <w:rPr>
                <w:b/>
                <w:u w:val="single"/>
              </w:rPr>
            </w:pPr>
            <w:r w:rsidRPr="00016C03">
              <w:rPr>
                <w:b/>
                <w:u w:val="single"/>
              </w:rPr>
              <w:lastRenderedPageBreak/>
              <w:t xml:space="preserve">Illustration 6 </w:t>
            </w:r>
          </w:p>
          <w:p w14:paraId="50069C03" w14:textId="77777777" w:rsidR="00B276D6" w:rsidRPr="00016C03" w:rsidRDefault="00B276D6" w:rsidP="00016C03">
            <w:pPr>
              <w:pStyle w:val="ParaPlain"/>
              <w:rPr>
                <w:b/>
              </w:rPr>
            </w:pPr>
            <w:r w:rsidRPr="00016C03">
              <w:rPr>
                <w:b/>
              </w:rPr>
              <w:t xml:space="preserve">Circumstances include the following: </w:t>
            </w:r>
          </w:p>
          <w:p w14:paraId="289BF808" w14:textId="77777777" w:rsidR="00B276D6" w:rsidRPr="00016C03" w:rsidRDefault="00B276D6" w:rsidP="00016C03">
            <w:pPr>
              <w:pStyle w:val="ListBullet"/>
              <w:tabs>
                <w:tab w:val="clear" w:pos="709"/>
                <w:tab w:val="num" w:pos="567"/>
              </w:tabs>
              <w:ind w:left="567" w:hanging="567"/>
              <w:rPr>
                <w:b/>
              </w:rPr>
            </w:pPr>
            <w:r w:rsidRPr="00016C03">
              <w:rPr>
                <w:b/>
              </w:rPr>
              <w:t xml:space="preserve">The financial statements have been prepared by management of the entity in accordance with the financial reporting provisions of a contract (that is, a special purpose framework), to comply with the provisions of the contract. Management does not have a choice of financial reporting frameworks. </w:t>
            </w:r>
          </w:p>
          <w:p w14:paraId="028715B0" w14:textId="77777777" w:rsidR="00B276D6" w:rsidRPr="00016C03" w:rsidRDefault="00B276D6" w:rsidP="00016C03">
            <w:pPr>
              <w:pStyle w:val="ListBullet"/>
              <w:tabs>
                <w:tab w:val="clear" w:pos="709"/>
                <w:tab w:val="num" w:pos="567"/>
              </w:tabs>
              <w:ind w:left="567" w:hanging="567"/>
              <w:rPr>
                <w:b/>
              </w:rPr>
            </w:pPr>
            <w:r w:rsidRPr="00016C03">
              <w:rPr>
                <w:b/>
              </w:rPr>
              <w:t xml:space="preserve">The applicable financial reporting framework is a compliance framework. </w:t>
            </w:r>
          </w:p>
          <w:p w14:paraId="1357BF0E" w14:textId="77777777" w:rsidR="00B276D6" w:rsidRPr="00016C03" w:rsidRDefault="00B276D6" w:rsidP="00016C03">
            <w:pPr>
              <w:pStyle w:val="ListBullet"/>
              <w:tabs>
                <w:tab w:val="clear" w:pos="709"/>
                <w:tab w:val="num" w:pos="567"/>
              </w:tabs>
              <w:ind w:left="567" w:hanging="567"/>
              <w:rPr>
                <w:b/>
              </w:rPr>
            </w:pPr>
            <w:r w:rsidRPr="00016C03">
              <w:rPr>
                <w:b/>
              </w:rPr>
              <w:t xml:space="preserve">The terms of the review engagement reflect the description of management’s responsibility for the financial statements in </w:t>
            </w:r>
            <w:r w:rsidR="00582B2A" w:rsidRPr="00016C03">
              <w:rPr>
                <w:b/>
              </w:rPr>
              <w:t>paragraph</w:t>
            </w:r>
            <w:r w:rsidR="00582B2A">
              <w:rPr>
                <w:b/>
              </w:rPr>
              <w:t> </w:t>
            </w:r>
            <w:r w:rsidR="00582B2A" w:rsidRPr="00016C03">
              <w:rPr>
                <w:b/>
              </w:rPr>
              <w:t>3</w:t>
            </w:r>
            <w:r w:rsidRPr="00016C03">
              <w:rPr>
                <w:b/>
              </w:rPr>
              <w:t xml:space="preserve">0(b) of this </w:t>
            </w:r>
            <w:r w:rsidR="006A62E2">
              <w:rPr>
                <w:b/>
              </w:rPr>
              <w:t>ASRE</w:t>
            </w:r>
            <w:r w:rsidRPr="00016C03">
              <w:rPr>
                <w:b/>
              </w:rPr>
              <w:t xml:space="preserve">. </w:t>
            </w:r>
          </w:p>
          <w:p w14:paraId="284945D2" w14:textId="77777777" w:rsidR="00B276D6" w:rsidRPr="00016C03" w:rsidRDefault="00B276D6" w:rsidP="00016C03">
            <w:pPr>
              <w:pStyle w:val="ListBullet"/>
              <w:tabs>
                <w:tab w:val="clear" w:pos="709"/>
                <w:tab w:val="num" w:pos="567"/>
              </w:tabs>
              <w:spacing w:after="0"/>
              <w:ind w:left="567" w:hanging="567"/>
              <w:rPr>
                <w:b/>
              </w:rPr>
            </w:pPr>
            <w:r w:rsidRPr="00016C03">
              <w:rPr>
                <w:b/>
              </w:rPr>
              <w:t xml:space="preserve">Distribution or use of the </w:t>
            </w:r>
            <w:r w:rsidR="00C35FB0">
              <w:rPr>
                <w:b/>
              </w:rPr>
              <w:t>assurance practitioner</w:t>
            </w:r>
            <w:r w:rsidRPr="00016C03">
              <w:rPr>
                <w:b/>
              </w:rPr>
              <w:t xml:space="preserve">’s report is restricted. </w:t>
            </w:r>
          </w:p>
          <w:p w14:paraId="1E084994" w14:textId="77777777" w:rsidR="00B276D6" w:rsidRPr="00B276D6" w:rsidRDefault="00B276D6" w:rsidP="00B276D6"/>
        </w:tc>
      </w:tr>
    </w:tbl>
    <w:p w14:paraId="526DB211" w14:textId="77777777" w:rsidR="00B276D6" w:rsidRPr="00B276D6" w:rsidRDefault="00B276D6" w:rsidP="00171A1D">
      <w:pPr>
        <w:pStyle w:val="ParaPlain"/>
        <w:spacing w:before="240"/>
      </w:pPr>
      <w:r w:rsidRPr="00B276D6">
        <w:t xml:space="preserve">INDEPENDENT </w:t>
      </w:r>
      <w:r w:rsidR="00C35FB0">
        <w:t>ASSURANCE PRACTITIONER</w:t>
      </w:r>
      <w:r w:rsidRPr="00B276D6">
        <w:t xml:space="preserve">’S REVIEW REPORT </w:t>
      </w:r>
    </w:p>
    <w:p w14:paraId="55551E1A" w14:textId="77777777" w:rsidR="00B276D6" w:rsidRPr="00B276D6" w:rsidRDefault="00B276D6" w:rsidP="00C611F3">
      <w:pPr>
        <w:pStyle w:val="ParaPlain"/>
      </w:pPr>
      <w:r w:rsidRPr="00B276D6">
        <w:t xml:space="preserve">[Appropriate Addressee] </w:t>
      </w:r>
    </w:p>
    <w:p w14:paraId="3D70A2D0" w14:textId="77777777" w:rsidR="00B276D6" w:rsidRPr="00B276D6" w:rsidRDefault="00B276D6" w:rsidP="00C611F3">
      <w:pPr>
        <w:pStyle w:val="ParaPlain"/>
      </w:pPr>
      <w:r w:rsidRPr="00B276D6">
        <w:t xml:space="preserve">We have reviewed the accompanying financial statements of ABC Company, which comprise the balance sheet as at December 31, 20X1, and the income statement, statement of changes in equity and cash flow statement for the year then ended, and a summary of significant accounting policies and other explanatory information. </w:t>
      </w:r>
      <w:r w:rsidR="006564F3">
        <w:t xml:space="preserve"> </w:t>
      </w:r>
      <w:r w:rsidRPr="00B276D6">
        <w:t>The financial statements have been prepared by management of ABC Company based on the financial reporting provisions of Section Z of the contract dated January</w:t>
      </w:r>
      <w:r w:rsidR="003151B5">
        <w:t> </w:t>
      </w:r>
      <w:r w:rsidRPr="00B276D6">
        <w:t>1,</w:t>
      </w:r>
      <w:r w:rsidR="003151B5">
        <w:t> </w:t>
      </w:r>
      <w:r w:rsidRPr="00B276D6">
        <w:t xml:space="preserve">20X1 between ABC Company and DEF Company (“the contract”). </w:t>
      </w:r>
    </w:p>
    <w:p w14:paraId="2522D776" w14:textId="77777777" w:rsidR="00B276D6" w:rsidRPr="00B276D6" w:rsidRDefault="00B276D6" w:rsidP="00C611F3">
      <w:pPr>
        <w:pStyle w:val="Heading7"/>
      </w:pPr>
      <w:r w:rsidRPr="00B276D6">
        <w:t>Management’s</w:t>
      </w:r>
      <w:r w:rsidR="00E017EF" w:rsidRPr="00E017EF">
        <w:rPr>
          <w:rStyle w:val="FootnoteReference"/>
          <w:i w:val="0"/>
        </w:rPr>
        <w:footnoteReference w:id="13"/>
      </w:r>
      <w:r w:rsidRPr="00B276D6">
        <w:t xml:space="preserve"> Responsibility for the Financial Statements </w:t>
      </w:r>
    </w:p>
    <w:p w14:paraId="44B091CC" w14:textId="77777777" w:rsidR="00B276D6" w:rsidRPr="00B276D6" w:rsidRDefault="00B276D6" w:rsidP="00C611F3">
      <w:pPr>
        <w:pStyle w:val="ParaPlain"/>
      </w:pPr>
      <w:r w:rsidRPr="00B276D6">
        <w:t xml:space="preserve">Management is responsible for the preparation of these financial statements in accordance with the financial reporting provisions of Section Z of the contract, and for such internal control as management determines is necessary to enable the preparation of financial statements that are free from material misstatement, whether due to fraud or error. </w:t>
      </w:r>
    </w:p>
    <w:p w14:paraId="44D62756" w14:textId="77777777" w:rsidR="00B276D6" w:rsidRPr="00B276D6" w:rsidRDefault="00C35FB0" w:rsidP="00C611F3">
      <w:pPr>
        <w:pStyle w:val="Heading7"/>
      </w:pPr>
      <w:r>
        <w:t>Assurance practitioner</w:t>
      </w:r>
      <w:r w:rsidR="00B276D6" w:rsidRPr="00B276D6">
        <w:t xml:space="preserve">’s Responsibility </w:t>
      </w:r>
    </w:p>
    <w:p w14:paraId="66AFDB1E" w14:textId="77777777" w:rsidR="00B276D6" w:rsidRPr="00B276D6" w:rsidRDefault="00B276D6" w:rsidP="00C611F3">
      <w:pPr>
        <w:pStyle w:val="ParaPlain"/>
      </w:pPr>
      <w:r w:rsidRPr="00B276D6">
        <w:t xml:space="preserve">Our responsibility is to express a conclusion on the accompanying financial statements. We conducted our review in accordance with Standard on Review Engagements </w:t>
      </w:r>
      <w:r w:rsidR="006A62E2">
        <w:t>ASRE</w:t>
      </w:r>
      <w:r w:rsidRPr="00B276D6">
        <w:t xml:space="preserve"> 2400, </w:t>
      </w:r>
      <w:r w:rsidR="00AA1CB5" w:rsidRPr="00AA1CB5">
        <w:rPr>
          <w:i/>
        </w:rPr>
        <w:t>Review of a Financial Report Performed by an Assurance Practitioner Who is Not the Auditor of the Entity</w:t>
      </w:r>
      <w:r w:rsidR="00A42A02">
        <w:t xml:space="preserve">. </w:t>
      </w:r>
      <w:r w:rsidR="00AA1CB5">
        <w:t xml:space="preserve"> </w:t>
      </w:r>
      <w:r w:rsidR="00582B2A">
        <w:t>ASRE </w:t>
      </w:r>
      <w:r w:rsidR="00582B2A" w:rsidRPr="00B276D6">
        <w:t>2</w:t>
      </w:r>
      <w:r w:rsidR="004749AE">
        <w:t xml:space="preserve">400 </w:t>
      </w:r>
      <w:r w:rsidRPr="00B276D6">
        <w:t>requires us to conclude whether anything has come to our attention that causes us to believe that the financial statements, taken as a whole, are not prepared in all material respects in accordance with the applicable financial reporting framework.</w:t>
      </w:r>
      <w:r w:rsidR="004749AE">
        <w:t xml:space="preserve"> </w:t>
      </w:r>
      <w:r w:rsidRPr="00B276D6">
        <w:t xml:space="preserve"> This Standard also requires us to comply with relevant ethical requirements. </w:t>
      </w:r>
    </w:p>
    <w:p w14:paraId="0375F5AE" w14:textId="77777777" w:rsidR="00B276D6" w:rsidRPr="00B276D6" w:rsidRDefault="00B276D6" w:rsidP="00C611F3">
      <w:pPr>
        <w:pStyle w:val="ParaPlain"/>
      </w:pPr>
      <w:r w:rsidRPr="00B276D6">
        <w:t xml:space="preserve">A review of financial statements in accordance with </w:t>
      </w:r>
      <w:r w:rsidR="00582B2A">
        <w:t>ASRE </w:t>
      </w:r>
      <w:r w:rsidR="00582B2A" w:rsidRPr="00B276D6">
        <w:t>2</w:t>
      </w:r>
      <w:r w:rsidRPr="00B276D6">
        <w:t xml:space="preserve">400 is a limited assurance engagement. </w:t>
      </w:r>
      <w:r w:rsidR="004749AE">
        <w:t xml:space="preserve"> </w:t>
      </w:r>
      <w:r w:rsidRPr="00B276D6">
        <w:t xml:space="preserve">The </w:t>
      </w:r>
      <w:r w:rsidR="00C35FB0">
        <w:t>assurance practitioner</w:t>
      </w:r>
      <w:r w:rsidRPr="00B276D6">
        <w:t xml:space="preserve"> performs procedures, primarily consisting of making </w:t>
      </w:r>
      <w:r w:rsidR="00614675">
        <w:t>enquiries</w:t>
      </w:r>
      <w:r w:rsidRPr="00B276D6">
        <w:t xml:space="preserve"> of management and others within the entity, as appropriate, and applying analytical procedures, and evaluates the evidence obtained. </w:t>
      </w:r>
    </w:p>
    <w:p w14:paraId="5F5EB747" w14:textId="77777777" w:rsidR="00B276D6" w:rsidRPr="00B276D6" w:rsidRDefault="00B276D6" w:rsidP="00C611F3">
      <w:pPr>
        <w:pStyle w:val="ParaPlain"/>
      </w:pPr>
      <w:r w:rsidRPr="00B276D6">
        <w:t xml:space="preserve">The procedures performed in a review are substantially less than those performed in an audit conducted in accordance with </w:t>
      </w:r>
      <w:r w:rsidR="00614675">
        <w:t>Australian</w:t>
      </w:r>
      <w:r w:rsidRPr="00B276D6">
        <w:t xml:space="preserve"> </w:t>
      </w:r>
      <w:r w:rsidR="00AA1CB5">
        <w:t xml:space="preserve">Auditing </w:t>
      </w:r>
      <w:r w:rsidRPr="00B276D6">
        <w:t xml:space="preserve">Standards. </w:t>
      </w:r>
      <w:r w:rsidR="004749AE">
        <w:t xml:space="preserve"> </w:t>
      </w:r>
      <w:r w:rsidRPr="00B276D6">
        <w:t xml:space="preserve">Accordingly, we do not express an audit opinion on these financial statements. </w:t>
      </w:r>
    </w:p>
    <w:p w14:paraId="4FA9F8EE" w14:textId="77777777" w:rsidR="00B276D6" w:rsidRPr="00B276D6" w:rsidRDefault="00B276D6" w:rsidP="00C611F3">
      <w:pPr>
        <w:pStyle w:val="Heading7"/>
      </w:pPr>
      <w:r w:rsidRPr="00B276D6">
        <w:lastRenderedPageBreak/>
        <w:t xml:space="preserve">Conclusion </w:t>
      </w:r>
    </w:p>
    <w:p w14:paraId="46BFB002" w14:textId="77777777" w:rsidR="00B276D6" w:rsidRPr="00B276D6" w:rsidRDefault="00B276D6" w:rsidP="00C611F3">
      <w:pPr>
        <w:pStyle w:val="ParaPlain"/>
      </w:pPr>
      <w:r w:rsidRPr="00B276D6">
        <w:t xml:space="preserve">Based on our review, nothing has come to our attention that causes us to believe that these financial statements are not prepared, in all material respects, in accordance with the financial reporting provisions of Section Z of the contract. </w:t>
      </w:r>
    </w:p>
    <w:p w14:paraId="42D005A2" w14:textId="77777777" w:rsidR="00B276D6" w:rsidRPr="00B276D6" w:rsidRDefault="00B276D6" w:rsidP="00C611F3">
      <w:pPr>
        <w:pStyle w:val="Heading7"/>
      </w:pPr>
      <w:r w:rsidRPr="00B276D6">
        <w:t xml:space="preserve">Basis of Accounting, and Restriction on Distribution and Use </w:t>
      </w:r>
    </w:p>
    <w:p w14:paraId="4174E793" w14:textId="77777777" w:rsidR="00B276D6" w:rsidRPr="00B276D6" w:rsidRDefault="00B276D6" w:rsidP="00C611F3">
      <w:pPr>
        <w:pStyle w:val="ParaPlain"/>
      </w:pPr>
      <w:r w:rsidRPr="00B276D6">
        <w:t xml:space="preserve">Without modifying our conclusion, we draw attention to Note X to the financial statements, which describes the basis of accounting. </w:t>
      </w:r>
      <w:r w:rsidR="004749AE">
        <w:t xml:space="preserve"> </w:t>
      </w:r>
      <w:r w:rsidRPr="00B276D6">
        <w:t xml:space="preserve">The financial statements are prepared to assist ABC Company to comply with the financial reporting provisions of the contract referred to above. </w:t>
      </w:r>
      <w:r w:rsidR="004749AE">
        <w:t xml:space="preserve"> </w:t>
      </w:r>
      <w:r w:rsidRPr="00B276D6">
        <w:t xml:space="preserve">As a result, the financial statements may not be suitable for another purpose. </w:t>
      </w:r>
      <w:r w:rsidR="004749AE">
        <w:t xml:space="preserve"> </w:t>
      </w:r>
      <w:r w:rsidRPr="00B276D6">
        <w:t xml:space="preserve">Our report is intended solely for ABC Company and DEF Company and should not be distributed to or used by parties other than ABC Company or DEF Company. </w:t>
      </w:r>
    </w:p>
    <w:p w14:paraId="3CE4D66F" w14:textId="77777777" w:rsidR="00B276D6" w:rsidRPr="00B276D6" w:rsidRDefault="00B276D6" w:rsidP="00C611F3">
      <w:pPr>
        <w:pStyle w:val="ParaPlain"/>
      </w:pPr>
      <w:r w:rsidRPr="00B276D6">
        <w:t>[</w:t>
      </w:r>
      <w:r w:rsidR="00C35FB0">
        <w:t>Assurance practitioner</w:t>
      </w:r>
      <w:r w:rsidRPr="00B276D6">
        <w:t xml:space="preserve">’s signature] </w:t>
      </w:r>
    </w:p>
    <w:p w14:paraId="3203269C" w14:textId="77777777" w:rsidR="00B276D6" w:rsidRPr="00B276D6" w:rsidRDefault="00B276D6" w:rsidP="00C611F3">
      <w:pPr>
        <w:pStyle w:val="ParaPlain"/>
      </w:pPr>
      <w:r w:rsidRPr="00B276D6">
        <w:t xml:space="preserve">[Date of the </w:t>
      </w:r>
      <w:r w:rsidR="00C35FB0">
        <w:t>assurance practitioner</w:t>
      </w:r>
      <w:r w:rsidRPr="00B276D6">
        <w:t xml:space="preserve">’s report] </w:t>
      </w:r>
    </w:p>
    <w:p w14:paraId="3DECF0AF" w14:textId="77777777" w:rsidR="00B276D6" w:rsidRDefault="00B276D6" w:rsidP="00171A1D">
      <w:pPr>
        <w:pStyle w:val="ParaPlain"/>
      </w:pPr>
      <w:r w:rsidRPr="00B276D6">
        <w:t>[</w:t>
      </w:r>
      <w:r w:rsidR="00C35FB0">
        <w:t>Assurance practitioner</w:t>
      </w:r>
      <w:r w:rsidRPr="00B276D6">
        <w:t>’s address]</w:t>
      </w:r>
    </w:p>
    <w:sectPr w:rsidR="00B276D6" w:rsidSect="002D7E51">
      <w:headerReference w:type="default" r:id="rId11"/>
      <w:footerReference w:type="default" r:id="rId12"/>
      <w:headerReference w:type="first" r:id="rId13"/>
      <w:footerReference w:type="first" r:id="rId14"/>
      <w:pgSz w:w="11907" w:h="16840" w:code="9"/>
      <w:pgMar w:top="2268" w:right="1418" w:bottom="1701" w:left="1418" w:header="992" w:footer="9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3AD37E" w14:textId="77777777" w:rsidR="009F626B" w:rsidRDefault="009F626B">
      <w:r>
        <w:separator/>
      </w:r>
    </w:p>
  </w:endnote>
  <w:endnote w:type="continuationSeparator" w:id="0">
    <w:p w14:paraId="716449B9" w14:textId="77777777" w:rsidR="009F626B" w:rsidRDefault="009F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D00CA" w14:textId="77777777" w:rsidR="009F626B" w:rsidRDefault="0057670A" w:rsidP="004749AE">
    <w:pPr>
      <w:pStyle w:val="Footer"/>
      <w:spacing w:before="200"/>
    </w:pPr>
    <w:r>
      <w:fldChar w:fldCharType="begin" w:fldLock="1"/>
    </w:r>
    <w:r>
      <w:instrText xml:space="preserve"> REF DocType \* charformat \* MERGEFORMAT </w:instrText>
    </w:r>
    <w:r>
      <w:fldChar w:fldCharType="separate"/>
    </w:r>
    <w:r w:rsidR="009F626B">
      <w:t>ASRE</w:t>
    </w:r>
    <w:r>
      <w:fldChar w:fldCharType="end"/>
    </w:r>
    <w:r w:rsidR="009F626B" w:rsidRPr="002D7E51">
      <w:t xml:space="preserve"> </w:t>
    </w:r>
    <w:r>
      <w:fldChar w:fldCharType="begin" w:fldLock="1"/>
    </w:r>
    <w:r>
      <w:instrText xml:space="preserve"> REF DocNo \* charformat \* MERGEFORMAT </w:instrText>
    </w:r>
    <w:r>
      <w:fldChar w:fldCharType="separate"/>
    </w:r>
    <w:r w:rsidR="009F626B" w:rsidRPr="00CE2FCD">
      <w:t>2400</w:t>
    </w:r>
    <w:r>
      <w:fldChar w:fldCharType="end"/>
    </w:r>
    <w:r w:rsidR="009F626B" w:rsidRPr="002D7E51">
      <w:tab/>
    </w:r>
    <w:r w:rsidR="009F626B" w:rsidRPr="002D7E51">
      <w:rPr>
        <w:b w:val="0"/>
      </w:rPr>
      <w:t>-</w:t>
    </w:r>
    <w:r w:rsidR="009F626B">
      <w:rPr>
        <w:b w:val="0"/>
        <w:bCs/>
      </w:rPr>
      <w:t xml:space="preserve"> </w:t>
    </w:r>
    <w:r w:rsidR="009F626B">
      <w:rPr>
        <w:rStyle w:val="PageNumber"/>
        <w:b w:val="0"/>
        <w:bCs/>
      </w:rPr>
      <w:fldChar w:fldCharType="begin"/>
    </w:r>
    <w:r w:rsidR="009F626B">
      <w:rPr>
        <w:rStyle w:val="PageNumber"/>
        <w:b w:val="0"/>
        <w:bCs/>
      </w:rPr>
      <w:instrText xml:space="preserve"> PAGE </w:instrText>
    </w:r>
    <w:r w:rsidR="009F626B">
      <w:rPr>
        <w:rStyle w:val="PageNumber"/>
        <w:b w:val="0"/>
        <w:bCs/>
      </w:rPr>
      <w:fldChar w:fldCharType="separate"/>
    </w:r>
    <w:r w:rsidR="008254E6">
      <w:rPr>
        <w:rStyle w:val="PageNumber"/>
        <w:b w:val="0"/>
        <w:bCs/>
        <w:noProof/>
      </w:rPr>
      <w:t>61</w:t>
    </w:r>
    <w:r w:rsidR="009F626B">
      <w:rPr>
        <w:rStyle w:val="PageNumber"/>
        <w:b w:val="0"/>
        <w:bCs/>
      </w:rPr>
      <w:fldChar w:fldCharType="end"/>
    </w:r>
    <w:r w:rsidR="009F626B">
      <w:rPr>
        <w:rStyle w:val="PageNumber"/>
        <w:b w:val="0"/>
        <w:bC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874D7" w14:textId="77777777" w:rsidR="009F626B" w:rsidRDefault="0057670A" w:rsidP="00A13EDD">
    <w:pPr>
      <w:pStyle w:val="Footer"/>
      <w:spacing w:before="200"/>
      <w:rPr>
        <w:rStyle w:val="PageNumber"/>
      </w:rPr>
    </w:pPr>
    <w:r>
      <w:fldChar w:fldCharType="begin" w:fldLock="1"/>
    </w:r>
    <w:r>
      <w:instrText xml:space="preserve"> REF DocType \* charformat \* MERGEFORMAT </w:instrText>
    </w:r>
    <w:r>
      <w:fldChar w:fldCharType="separate"/>
    </w:r>
    <w:r w:rsidR="009F626B">
      <w:t>ASRE</w:t>
    </w:r>
    <w:r>
      <w:fldChar w:fldCharType="end"/>
    </w:r>
    <w:r w:rsidR="009F626B" w:rsidRPr="002D7E51">
      <w:t xml:space="preserve"> </w:t>
    </w:r>
    <w:r>
      <w:fldChar w:fldCharType="begin" w:fldLock="1"/>
    </w:r>
    <w:r>
      <w:instrText xml:space="preserve"> REF DocNo \* charformat \* MERGEFORMAT </w:instrText>
    </w:r>
    <w:r>
      <w:fldChar w:fldCharType="separate"/>
    </w:r>
    <w:r w:rsidR="009F626B" w:rsidRPr="00CE2FCD">
      <w:t>2400</w:t>
    </w:r>
    <w:r>
      <w:fldChar w:fldCharType="end"/>
    </w:r>
    <w:r w:rsidR="009F626B" w:rsidRPr="002D7E51">
      <w:tab/>
    </w:r>
    <w:r w:rsidR="009F626B" w:rsidRPr="002D7E51">
      <w:rPr>
        <w:b w:val="0"/>
      </w:rPr>
      <w:t>-</w:t>
    </w:r>
    <w:r w:rsidR="009F626B">
      <w:rPr>
        <w:b w:val="0"/>
        <w:bCs/>
      </w:rPr>
      <w:t xml:space="preserve"> </w:t>
    </w:r>
    <w:r w:rsidR="009F626B">
      <w:rPr>
        <w:rStyle w:val="PageNumber"/>
        <w:b w:val="0"/>
        <w:bCs/>
      </w:rPr>
      <w:fldChar w:fldCharType="begin"/>
    </w:r>
    <w:r w:rsidR="009F626B">
      <w:rPr>
        <w:rStyle w:val="PageNumber"/>
        <w:b w:val="0"/>
        <w:bCs/>
      </w:rPr>
      <w:instrText xml:space="preserve"> PAGE </w:instrText>
    </w:r>
    <w:r w:rsidR="009F626B">
      <w:rPr>
        <w:rStyle w:val="PageNumber"/>
        <w:b w:val="0"/>
        <w:bCs/>
      </w:rPr>
      <w:fldChar w:fldCharType="separate"/>
    </w:r>
    <w:r w:rsidR="009F626B">
      <w:rPr>
        <w:rStyle w:val="PageNumber"/>
        <w:b w:val="0"/>
        <w:bCs/>
        <w:noProof/>
      </w:rPr>
      <w:t>76</w:t>
    </w:r>
    <w:r w:rsidR="009F626B">
      <w:rPr>
        <w:rStyle w:val="PageNumber"/>
        <w:b w:val="0"/>
        <w:bCs/>
      </w:rPr>
      <w:fldChar w:fldCharType="end"/>
    </w:r>
    <w:r w:rsidR="009F626B">
      <w:rPr>
        <w:rStyle w:val="PageNumber"/>
        <w:b w:val="0"/>
        <w:bCs/>
      </w:rPr>
      <w:t xml:space="preserve"> -</w:t>
    </w:r>
    <w:r w:rsidR="009F626B">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98EEC" w14:textId="77777777" w:rsidR="009F626B" w:rsidRDefault="009F626B" w:rsidP="00F8727A">
      <w:pPr>
        <w:spacing w:before="240"/>
      </w:pPr>
      <w:r>
        <w:separator/>
      </w:r>
    </w:p>
  </w:footnote>
  <w:footnote w:type="continuationSeparator" w:id="0">
    <w:p w14:paraId="73FDD4A8" w14:textId="77777777" w:rsidR="009F626B" w:rsidRDefault="009F626B" w:rsidP="00F8727A">
      <w:pPr>
        <w:spacing w:before="240"/>
      </w:pPr>
      <w:r>
        <w:continuationSeparator/>
      </w:r>
    </w:p>
  </w:footnote>
  <w:footnote w:id="1">
    <w:p w14:paraId="44FE9E34" w14:textId="77777777" w:rsidR="009F626B" w:rsidRPr="00796F9D" w:rsidRDefault="009F626B">
      <w:pPr>
        <w:pStyle w:val="FootnoteText"/>
      </w:pPr>
      <w:r w:rsidRPr="00796F9D">
        <w:rPr>
          <w:rStyle w:val="FootnoteReference"/>
          <w:sz w:val="16"/>
        </w:rPr>
        <w:footnoteRef/>
      </w:r>
      <w:r w:rsidRPr="00796F9D">
        <w:t xml:space="preserve"> </w:t>
      </w:r>
      <w:r>
        <w:tab/>
      </w:r>
      <w:r w:rsidRPr="00796F9D">
        <w:t>The sub</w:t>
      </w:r>
      <w:r>
        <w:noBreakHyphen/>
      </w:r>
      <w:r w:rsidRPr="00796F9D">
        <w:t>title “Report on the Financial Statements” is unnecessary in circumstances when the second sub</w:t>
      </w:r>
      <w:r>
        <w:noBreakHyphen/>
      </w:r>
      <w:r w:rsidRPr="00796F9D">
        <w:t xml:space="preserve">title “Report on Other Legal and Regulatory Requirements” is not applicable.  </w:t>
      </w:r>
    </w:p>
  </w:footnote>
  <w:footnote w:id="2">
    <w:p w14:paraId="7707FA8B" w14:textId="77777777" w:rsidR="009F626B" w:rsidRPr="00796F9D" w:rsidRDefault="009F626B">
      <w:pPr>
        <w:pStyle w:val="FootnoteText"/>
      </w:pPr>
      <w:r w:rsidRPr="00796F9D">
        <w:rPr>
          <w:rStyle w:val="FootnoteReference"/>
          <w:sz w:val="16"/>
        </w:rPr>
        <w:footnoteRef/>
      </w:r>
      <w:r w:rsidRPr="00796F9D">
        <w:t xml:space="preserve"> </w:t>
      </w:r>
      <w:r>
        <w:tab/>
      </w:r>
      <w:r w:rsidRPr="00796F9D">
        <w:t>Or other term that is appropriate in the context of the legal framework in the p</w:t>
      </w:r>
      <w:r>
        <w:t>articular jurisdiction.</w:t>
      </w:r>
      <w:r w:rsidRPr="00796F9D">
        <w:t xml:space="preserve"> </w:t>
      </w:r>
    </w:p>
  </w:footnote>
  <w:footnote w:id="3">
    <w:p w14:paraId="0823958B" w14:textId="77777777" w:rsidR="009F626B" w:rsidRPr="00796F9D" w:rsidRDefault="009F626B">
      <w:pPr>
        <w:pStyle w:val="FootnoteText"/>
      </w:pPr>
      <w:r w:rsidRPr="00796F9D">
        <w:rPr>
          <w:rStyle w:val="FootnoteReference"/>
          <w:sz w:val="16"/>
        </w:rPr>
        <w:footnoteRef/>
      </w:r>
      <w:r w:rsidRPr="00796F9D">
        <w:t xml:space="preserve"> </w:t>
      </w:r>
      <w:r>
        <w:tab/>
      </w:r>
      <w:r w:rsidRPr="00796F9D">
        <w:t xml:space="preserve">Where management’s responsibility is to prepare financial statements that give a true and fair view, this may read: “Management is responsible for the preparation of financial statements that give a true and fair view in accordance with </w:t>
      </w:r>
      <w:r>
        <w:t xml:space="preserve">Australian Accounting </w:t>
      </w:r>
      <w:r w:rsidRPr="00796F9D">
        <w:t>Standard</w:t>
      </w:r>
      <w:r>
        <w:t>s</w:t>
      </w:r>
      <w:r w:rsidRPr="00796F9D">
        <w:t xml:space="preserve">, and for such …”  </w:t>
      </w:r>
    </w:p>
  </w:footnote>
  <w:footnote w:id="4">
    <w:p w14:paraId="582CB077" w14:textId="77777777" w:rsidR="009F626B" w:rsidRPr="003B0C9A" w:rsidRDefault="009F626B">
      <w:pPr>
        <w:pStyle w:val="FootnoteText"/>
      </w:pPr>
      <w:r w:rsidRPr="003B0C9A">
        <w:rPr>
          <w:rStyle w:val="FootnoteReference"/>
          <w:sz w:val="16"/>
        </w:rPr>
        <w:footnoteRef/>
      </w:r>
      <w:r w:rsidRPr="003B0C9A">
        <w:t xml:space="preserve"> </w:t>
      </w:r>
      <w:r>
        <w:tab/>
      </w:r>
      <w:r w:rsidRPr="003B0C9A">
        <w:t>The sub</w:t>
      </w:r>
      <w:r>
        <w:noBreakHyphen/>
      </w:r>
      <w:r w:rsidRPr="003B0C9A">
        <w:t>title “Report on the Financial Statements” is unnecessary in circumstances when the second sub</w:t>
      </w:r>
      <w:r>
        <w:noBreakHyphen/>
      </w:r>
      <w:r w:rsidRPr="003B0C9A">
        <w:t xml:space="preserve">title “Report on Other Legal and Regulatory Requirements” is not applicable.  </w:t>
      </w:r>
    </w:p>
  </w:footnote>
  <w:footnote w:id="5">
    <w:p w14:paraId="457A9D32" w14:textId="77777777" w:rsidR="009F626B" w:rsidRPr="003B0C9A" w:rsidRDefault="009F626B">
      <w:pPr>
        <w:pStyle w:val="FootnoteText"/>
      </w:pPr>
      <w:r w:rsidRPr="003B0C9A">
        <w:rPr>
          <w:rStyle w:val="FootnoteReference"/>
          <w:sz w:val="16"/>
        </w:rPr>
        <w:footnoteRef/>
      </w:r>
      <w:r w:rsidRPr="003B0C9A">
        <w:t xml:space="preserve"> </w:t>
      </w:r>
      <w:r>
        <w:tab/>
      </w:r>
      <w:r w:rsidRPr="003B0C9A">
        <w:t xml:space="preserve">Or other term that is appropriate in the context of the legal framework </w:t>
      </w:r>
      <w:r>
        <w:t>in the particular jurisdiction.</w:t>
      </w:r>
    </w:p>
  </w:footnote>
  <w:footnote w:id="6">
    <w:p w14:paraId="0BED6A73" w14:textId="77777777" w:rsidR="009F626B" w:rsidRPr="005D4C1D" w:rsidRDefault="009F626B">
      <w:pPr>
        <w:pStyle w:val="FootnoteText"/>
      </w:pPr>
      <w:r w:rsidRPr="005D4C1D">
        <w:rPr>
          <w:rStyle w:val="FootnoteReference"/>
          <w:sz w:val="16"/>
        </w:rPr>
        <w:footnoteRef/>
      </w:r>
      <w:r w:rsidRPr="005D4C1D">
        <w:t xml:space="preserve"> </w:t>
      </w:r>
      <w:r>
        <w:tab/>
      </w:r>
      <w:r w:rsidRPr="005D4C1D">
        <w:t xml:space="preserve">Or other term that is appropriate in the context of the legal framework </w:t>
      </w:r>
      <w:r>
        <w:t>in the particular jurisdiction.</w:t>
      </w:r>
    </w:p>
  </w:footnote>
  <w:footnote w:id="7">
    <w:p w14:paraId="2E1964BE" w14:textId="77777777" w:rsidR="009F626B" w:rsidRPr="005D4C1D" w:rsidRDefault="009F626B">
      <w:pPr>
        <w:pStyle w:val="FootnoteText"/>
      </w:pPr>
      <w:r w:rsidRPr="005D4C1D">
        <w:rPr>
          <w:rStyle w:val="FootnoteReference"/>
          <w:sz w:val="16"/>
        </w:rPr>
        <w:footnoteRef/>
      </w:r>
      <w:r w:rsidRPr="005D4C1D">
        <w:t xml:space="preserve"> </w:t>
      </w:r>
      <w:r>
        <w:tab/>
      </w:r>
      <w:r w:rsidRPr="005D4C1D">
        <w:t xml:space="preserve">Where management’s responsibility is to prepare financial statements that give a true and fair view, this may read: “Management is responsible for the preparation of financial statements that give a true and fair view in accordance with [name of applicable financial reporting framework, including a reference to the jurisdiction or country of origin of the financial reporting framework when the financial reporting framework used is not </w:t>
      </w:r>
      <w:r>
        <w:t>Australian Accounting</w:t>
      </w:r>
      <w:r w:rsidRPr="005D4C1D">
        <w:t xml:space="preserve"> Standards], and for such …”  </w:t>
      </w:r>
    </w:p>
  </w:footnote>
  <w:footnote w:id="8">
    <w:p w14:paraId="1F3A91E3" w14:textId="77777777" w:rsidR="009F626B" w:rsidRPr="00297D3E" w:rsidRDefault="009F626B">
      <w:pPr>
        <w:pStyle w:val="FootnoteText"/>
      </w:pPr>
      <w:r w:rsidRPr="00297D3E">
        <w:rPr>
          <w:rStyle w:val="FootnoteReference"/>
          <w:sz w:val="16"/>
        </w:rPr>
        <w:footnoteRef/>
      </w:r>
      <w:r w:rsidRPr="00297D3E">
        <w:t xml:space="preserve"> </w:t>
      </w:r>
      <w:r>
        <w:tab/>
      </w:r>
      <w:r w:rsidRPr="00297D3E">
        <w:t>The sub</w:t>
      </w:r>
      <w:r>
        <w:noBreakHyphen/>
      </w:r>
      <w:r w:rsidRPr="00297D3E">
        <w:t>title “Report on the Consolidated Financial Statements” is unnecessary in circumstances when the second sub</w:t>
      </w:r>
      <w:r>
        <w:noBreakHyphen/>
      </w:r>
      <w:r w:rsidRPr="00297D3E">
        <w:t xml:space="preserve">title “Report on Other Legal and Regulatory Requirements” is not applicable.  </w:t>
      </w:r>
    </w:p>
  </w:footnote>
  <w:footnote w:id="9">
    <w:p w14:paraId="24FB622C" w14:textId="77777777" w:rsidR="009F626B" w:rsidRPr="00297D3E" w:rsidRDefault="009F626B">
      <w:pPr>
        <w:pStyle w:val="FootnoteText"/>
      </w:pPr>
      <w:r w:rsidRPr="00297D3E">
        <w:rPr>
          <w:rStyle w:val="FootnoteReference"/>
          <w:sz w:val="16"/>
        </w:rPr>
        <w:footnoteRef/>
      </w:r>
      <w:r w:rsidRPr="00297D3E">
        <w:t xml:space="preserve"> </w:t>
      </w:r>
      <w:r>
        <w:tab/>
      </w:r>
      <w:r w:rsidRPr="00297D3E">
        <w:t xml:space="preserve">Or other term that is appropriate in the context of the legal framework </w:t>
      </w:r>
      <w:r>
        <w:t>in the particular jurisdiction.</w:t>
      </w:r>
    </w:p>
  </w:footnote>
  <w:footnote w:id="10">
    <w:p w14:paraId="5AF1E802" w14:textId="77777777" w:rsidR="009F626B" w:rsidRPr="00297D3E" w:rsidRDefault="009F626B">
      <w:pPr>
        <w:pStyle w:val="FootnoteText"/>
      </w:pPr>
      <w:r w:rsidRPr="00297D3E">
        <w:rPr>
          <w:rStyle w:val="FootnoteReference"/>
          <w:sz w:val="16"/>
        </w:rPr>
        <w:footnoteRef/>
      </w:r>
      <w:r w:rsidRPr="00297D3E">
        <w:t xml:space="preserve"> </w:t>
      </w:r>
      <w:r>
        <w:tab/>
      </w:r>
      <w:r w:rsidRPr="00297D3E">
        <w:t xml:space="preserve">Where management’s responsibility is to prepare financial statements that give a true and fair view, this may read: “Management is responsible for the preparation of financial statements that give a true and fair view in accordance with </w:t>
      </w:r>
      <w:r>
        <w:t>Australian Accounting</w:t>
      </w:r>
      <w:r w:rsidRPr="00297D3E">
        <w:t xml:space="preserve"> Standards, and for such …”  </w:t>
      </w:r>
    </w:p>
  </w:footnote>
  <w:footnote w:id="11">
    <w:p w14:paraId="0D5E6D25" w14:textId="77777777" w:rsidR="009F626B" w:rsidRPr="00F211DD" w:rsidRDefault="009F626B">
      <w:pPr>
        <w:pStyle w:val="FootnoteText"/>
      </w:pPr>
      <w:r w:rsidRPr="00F211DD">
        <w:rPr>
          <w:rStyle w:val="FootnoteReference"/>
          <w:sz w:val="16"/>
        </w:rPr>
        <w:footnoteRef/>
      </w:r>
      <w:r w:rsidRPr="00F211DD">
        <w:t xml:space="preserve"> </w:t>
      </w:r>
      <w:r>
        <w:tab/>
      </w:r>
      <w:r w:rsidRPr="00F211DD">
        <w:t xml:space="preserve">Or other term that is appropriate in the context of the legal framework </w:t>
      </w:r>
      <w:r>
        <w:t>in the particular jurisdiction.</w:t>
      </w:r>
    </w:p>
  </w:footnote>
  <w:footnote w:id="12">
    <w:p w14:paraId="7A8DE4CD" w14:textId="77777777" w:rsidR="009F626B" w:rsidRPr="00F211DD" w:rsidRDefault="009F626B">
      <w:pPr>
        <w:pStyle w:val="FootnoteText"/>
      </w:pPr>
      <w:r w:rsidRPr="00F211DD">
        <w:rPr>
          <w:rStyle w:val="FootnoteReference"/>
          <w:sz w:val="16"/>
        </w:rPr>
        <w:footnoteRef/>
      </w:r>
      <w:r w:rsidRPr="00F211DD">
        <w:t xml:space="preserve"> </w:t>
      </w:r>
      <w:r>
        <w:tab/>
      </w:r>
      <w:r w:rsidRPr="00F211DD">
        <w:t xml:space="preserve">Where management’s responsibility is to prepare financial statements that give a true and fair view, this may read: “Management is responsible for the preparation of financial statements that give a true and fair view in accordance with </w:t>
      </w:r>
      <w:r>
        <w:t>Australian Accounting</w:t>
      </w:r>
      <w:r w:rsidRPr="00F211DD">
        <w:t xml:space="preserve"> Standards, and for such …”  </w:t>
      </w:r>
    </w:p>
  </w:footnote>
  <w:footnote w:id="13">
    <w:p w14:paraId="308F8DCD" w14:textId="77777777" w:rsidR="009F626B" w:rsidRPr="00E017EF" w:rsidRDefault="009F626B">
      <w:pPr>
        <w:pStyle w:val="FootnoteText"/>
      </w:pPr>
      <w:r w:rsidRPr="00E017EF">
        <w:rPr>
          <w:rStyle w:val="FootnoteReference"/>
          <w:sz w:val="16"/>
        </w:rPr>
        <w:footnoteRef/>
      </w:r>
      <w:r w:rsidRPr="00E017EF">
        <w:t xml:space="preserve"> </w:t>
      </w:r>
      <w:r>
        <w:tab/>
      </w:r>
      <w:r w:rsidRPr="00E017EF">
        <w:t>Or other term that is appropriate in the context of the legal framework in the particu</w:t>
      </w:r>
      <w:r>
        <w:t>lar jurisdiction.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EDDF2" w14:textId="77777777" w:rsidR="009F626B" w:rsidRDefault="0057670A">
    <w:pPr>
      <w:pStyle w:val="Header"/>
      <w:rPr>
        <w:i/>
        <w:iCs/>
      </w:rPr>
    </w:pPr>
    <w:r>
      <w:fldChar w:fldCharType="begin" w:fldLock="1"/>
    </w:r>
    <w:r>
      <w:instrText xml:space="preserve"> REF DocTypeLong \* charformat </w:instrText>
    </w:r>
    <w:r>
      <w:fldChar w:fldCharType="separate"/>
    </w:r>
    <w:r w:rsidR="009F626B">
      <w:t>Standard on Review Engagements</w:t>
    </w:r>
    <w:r>
      <w:fldChar w:fldCharType="end"/>
    </w:r>
    <w:r w:rsidR="009F626B" w:rsidRPr="00C649F8">
      <w:t xml:space="preserve"> </w:t>
    </w:r>
    <w:r>
      <w:fldChar w:fldCharType="begin" w:fldLock="1"/>
    </w:r>
    <w:r>
      <w:instrText xml:space="preserve"> REF DocType \* charformat </w:instrText>
    </w:r>
    <w:r>
      <w:fldChar w:fldCharType="separate"/>
    </w:r>
    <w:r w:rsidR="009F626B">
      <w:t>ASRE</w:t>
    </w:r>
    <w:r>
      <w:fldChar w:fldCharType="end"/>
    </w:r>
    <w:r w:rsidR="009F626B">
      <w:t> </w:t>
    </w:r>
    <w:r>
      <w:fldChar w:fldCharType="begin" w:fldLock="1"/>
    </w:r>
    <w:r>
      <w:instrText xml:space="preserve"> REF DocNo \* charformat </w:instrText>
    </w:r>
    <w:r>
      <w:fldChar w:fldCharType="separate"/>
    </w:r>
    <w:r w:rsidR="009F626B" w:rsidRPr="00CE2FCD">
      <w:t>2400</w:t>
    </w:r>
    <w:r>
      <w:fldChar w:fldCharType="end"/>
    </w:r>
    <w:r w:rsidR="009F626B" w:rsidRPr="00C649F8">
      <w:br/>
    </w:r>
    <w:r w:rsidR="009F626B" w:rsidRPr="00C649F8">
      <w:rPr>
        <w:i/>
        <w:iCs/>
      </w:rPr>
      <w:fldChar w:fldCharType="begin" w:fldLock="1"/>
    </w:r>
    <w:r w:rsidR="009F626B" w:rsidRPr="00C649F8">
      <w:rPr>
        <w:i/>
        <w:iCs/>
      </w:rPr>
      <w:instrText xml:space="preserve"> REF DocTitle \* charformat </w:instrText>
    </w:r>
    <w:r w:rsidR="009F626B">
      <w:rPr>
        <w:i/>
        <w:iCs/>
      </w:rPr>
      <w:instrText xml:space="preserve"> \* MERGEFORMAT </w:instrText>
    </w:r>
    <w:r w:rsidR="009F626B" w:rsidRPr="00C649F8">
      <w:rPr>
        <w:i/>
        <w:iCs/>
      </w:rPr>
      <w:fldChar w:fldCharType="separate"/>
    </w:r>
    <w:r w:rsidR="009F626B" w:rsidRPr="00CE2FCD">
      <w:rPr>
        <w:i/>
        <w:iCs/>
      </w:rPr>
      <w:t xml:space="preserve">Review of a Financial Report </w:t>
    </w:r>
    <w:r w:rsidR="009F626B" w:rsidRPr="00D064F1">
      <w:rPr>
        <w:i/>
        <w:iCs/>
      </w:rPr>
      <w:t>Performed</w:t>
    </w:r>
    <w:r w:rsidR="009F626B" w:rsidRPr="00CE2FCD">
      <w:rPr>
        <w:i/>
        <w:iCs/>
      </w:rPr>
      <w:t xml:space="preserve"> by an Assurance Practitioner Who is Not the Auditor of the Entity</w:t>
    </w:r>
    <w:r w:rsidR="009F626B" w:rsidRPr="00C649F8">
      <w:fldChar w:fldCharType="end"/>
    </w:r>
  </w:p>
  <w:p w14:paraId="0F155141" w14:textId="77777777" w:rsidR="009F626B" w:rsidRDefault="009F626B" w:rsidP="00F46978">
    <w:pPr>
      <w:pStyle w:val="Header"/>
      <w:spacing w:after="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3665C" w14:textId="03BD23F1" w:rsidR="009F626B" w:rsidRDefault="00CB36A9">
    <w:pPr>
      <w:pStyle w:val="Header"/>
      <w:pBdr>
        <w:bottom w:val="none" w:sz="0" w:space="0" w:color="auto"/>
      </w:pBdr>
    </w:pPr>
    <w:r>
      <w:rPr>
        <w:noProof/>
        <w:sz w:val="20"/>
        <w:lang w:eastAsia="en-AU"/>
      </w:rPr>
      <mc:AlternateContent>
        <mc:Choice Requires="wps">
          <w:drawing>
            <wp:anchor distT="0" distB="0" distL="114300" distR="114300" simplePos="0" relativeHeight="251749376" behindDoc="1" locked="1" layoutInCell="1" allowOverlap="1" wp14:anchorId="04812CAE" wp14:editId="56DD52C5">
              <wp:simplePos x="0" y="0"/>
              <wp:positionH relativeFrom="page">
                <wp:posOffset>1800225</wp:posOffset>
              </wp:positionH>
              <wp:positionV relativeFrom="page">
                <wp:posOffset>2880360</wp:posOffset>
              </wp:positionV>
              <wp:extent cx="3959860" cy="3261360"/>
              <wp:effectExtent l="0" t="0" r="2540" b="0"/>
              <wp:wrapNone/>
              <wp:docPr id="4" name="WordArt 60" descr="Confidential waterma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59860" cy="326136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0F23334" w14:textId="77777777" w:rsidR="00CB36A9" w:rsidRDefault="00CB36A9" w:rsidP="00CB36A9">
                          <w:pPr>
                            <w:pStyle w:val="NormalWeb"/>
                            <w:spacing w:before="0" w:beforeAutospacing="0" w:after="0" w:afterAutospacing="0"/>
                            <w:jc w:val="center"/>
                          </w:pPr>
                          <w:r>
                            <w:rPr>
                              <w:color w:val="C0C0C0"/>
                              <w:sz w:val="72"/>
                              <w:szCs w:val="72"/>
                            </w:rPr>
                            <w:t>Confidential</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4812CAE" id="_x0000_t202" coordsize="21600,21600" o:spt="202" path="m,l,21600r21600,l21600,xe">
              <v:stroke joinstyle="miter"/>
              <v:path gradientshapeok="t" o:connecttype="rect"/>
            </v:shapetype>
            <v:shape id="WordArt 60" o:spid="_x0000_s1026" type="#_x0000_t202" alt="Confidential watermark" style="position:absolute;margin-left:141.75pt;margin-top:226.8pt;width:311.8pt;height:256.8pt;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" filled="f" stroked="f">
              <v:stroke joinstyle="round"/>
              <o:lock v:ext="edit" shapetype="t"/>
              <v:textbox style="mso-fit-shape-to-text:t">
                <w:txbxContent>
                  <w:p w14:paraId="60F23334" w14:textId="77777777" w:rsidR="00CB36A9" w:rsidRDefault="00CB36A9" w:rsidP="00CB36A9">
                    <w:pPr>
                      <w:pStyle w:val="NormalWeb"/>
                      <w:spacing w:before="0" w:beforeAutospacing="0" w:after="0" w:afterAutospacing="0"/>
                      <w:jc w:val="center"/>
                    </w:pPr>
                    <w:r>
                      <w:rPr>
                        <w:color w:val="C0C0C0"/>
                        <w:sz w:val="72"/>
                        <w:szCs w:val="72"/>
                      </w:rPr>
                      <w:t>Confidential</w:t>
                    </w:r>
                  </w:p>
                </w:txbxContent>
              </v:textbox>
              <w10:wrap anchorx="page" anchory="page"/>
              <w10:anchorlock/>
            </v:shape>
          </w:pict>
        </mc:Fallback>
      </mc:AlternateContent>
    </w:r>
    <w:r>
      <w:rPr>
        <w:noProof/>
        <w:sz w:val="20"/>
        <w:lang w:eastAsia="en-AU"/>
      </w:rPr>
      <mc:AlternateContent>
        <mc:Choice Requires="wps">
          <w:drawing>
            <wp:anchor distT="0" distB="0" distL="114300" distR="114300" simplePos="0" relativeHeight="251735040" behindDoc="1" locked="1" layoutInCell="1" allowOverlap="1" wp14:anchorId="6A9BB19A" wp14:editId="1F99EA2C">
              <wp:simplePos x="0" y="0"/>
              <wp:positionH relativeFrom="page">
                <wp:posOffset>1800225</wp:posOffset>
              </wp:positionH>
              <wp:positionV relativeFrom="page">
                <wp:posOffset>2880360</wp:posOffset>
              </wp:positionV>
              <wp:extent cx="3959860" cy="3261360"/>
              <wp:effectExtent l="0" t="0" r="2540" b="0"/>
              <wp:wrapNone/>
              <wp:docPr id="3" name="WordArt 46" descr="Confidential waterma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59860" cy="326136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7ED0C39" w14:textId="77777777" w:rsidR="00CB36A9" w:rsidRDefault="00CB36A9" w:rsidP="00CB36A9">
                          <w:pPr>
                            <w:pStyle w:val="NormalWeb"/>
                            <w:spacing w:before="0" w:beforeAutospacing="0" w:after="0" w:afterAutospacing="0"/>
                            <w:jc w:val="center"/>
                          </w:pPr>
                          <w:r>
                            <w:rPr>
                              <w:color w:val="C0C0C0"/>
                              <w:sz w:val="72"/>
                              <w:szCs w:val="72"/>
                            </w:rPr>
                            <w:t>Confidential</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6A9BB19A" id="WordArt 46" o:spid="_x0000_s1027" type="#_x0000_t202" alt="Confidential watermark" style="position:absolute;margin-left:141.75pt;margin-top:226.8pt;width:311.8pt;height:256.8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" filled="f" stroked="f">
              <v:stroke joinstyle="round"/>
              <o:lock v:ext="edit" shapetype="t"/>
              <v:textbox style="mso-fit-shape-to-text:t">
                <w:txbxContent>
                  <w:p w14:paraId="17ED0C39" w14:textId="77777777" w:rsidR="00CB36A9" w:rsidRDefault="00CB36A9" w:rsidP="00CB36A9">
                    <w:pPr>
                      <w:pStyle w:val="NormalWeb"/>
                      <w:spacing w:before="0" w:beforeAutospacing="0" w:after="0" w:afterAutospacing="0"/>
                      <w:jc w:val="center"/>
                    </w:pPr>
                    <w:r>
                      <w:rPr>
                        <w:color w:val="C0C0C0"/>
                        <w:sz w:val="72"/>
                        <w:szCs w:val="72"/>
                      </w:rPr>
                      <w:t>Confidential</w:t>
                    </w:r>
                  </w:p>
                </w:txbxContent>
              </v:textbox>
              <w10:wrap anchorx="page" anchory="page"/>
              <w10:anchorlock/>
            </v:shape>
          </w:pict>
        </mc:Fallback>
      </mc:AlternateContent>
    </w:r>
    <w:r>
      <w:rPr>
        <w:noProof/>
        <w:sz w:val="20"/>
        <w:lang w:eastAsia="en-AU"/>
      </w:rPr>
      <mc:AlternateContent>
        <mc:Choice Requires="wps">
          <w:drawing>
            <wp:anchor distT="0" distB="0" distL="114300" distR="114300" simplePos="0" relativeHeight="251720704" behindDoc="1" locked="1" layoutInCell="1" allowOverlap="1" wp14:anchorId="71F94918" wp14:editId="6C7BA97B">
              <wp:simplePos x="0" y="0"/>
              <wp:positionH relativeFrom="page">
                <wp:posOffset>1800225</wp:posOffset>
              </wp:positionH>
              <wp:positionV relativeFrom="page">
                <wp:posOffset>2880360</wp:posOffset>
              </wp:positionV>
              <wp:extent cx="3959860" cy="3261360"/>
              <wp:effectExtent l="0" t="0" r="2540" b="0"/>
              <wp:wrapNone/>
              <wp:docPr id="2" name="WordArt 38" descr="Confidential waterma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59860" cy="326136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CE2C892" w14:textId="77777777" w:rsidR="00CB36A9" w:rsidRDefault="00CB36A9" w:rsidP="00CB36A9">
                          <w:pPr>
                            <w:pStyle w:val="NormalWeb"/>
                            <w:spacing w:before="0" w:beforeAutospacing="0" w:after="0" w:afterAutospacing="0"/>
                            <w:jc w:val="center"/>
                          </w:pPr>
                          <w:r>
                            <w:rPr>
                              <w:color w:val="C0C0C0"/>
                              <w:sz w:val="72"/>
                              <w:szCs w:val="72"/>
                            </w:rPr>
                            <w:t>Confidential</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71F94918" id="WordArt 38" o:spid="_x0000_s1028" type="#_x0000_t202" alt="Confidential watermark" style="position:absolute;margin-left:141.75pt;margin-top:226.8pt;width:311.8pt;height:256.8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" filled="f" stroked="f">
              <v:stroke joinstyle="round"/>
              <o:lock v:ext="edit" shapetype="t"/>
              <v:textbox style="mso-fit-shape-to-text:t">
                <w:txbxContent>
                  <w:p w14:paraId="7CE2C892" w14:textId="77777777" w:rsidR="00CB36A9" w:rsidRDefault="00CB36A9" w:rsidP="00CB36A9">
                    <w:pPr>
                      <w:pStyle w:val="NormalWeb"/>
                      <w:spacing w:before="0" w:beforeAutospacing="0" w:after="0" w:afterAutospacing="0"/>
                      <w:jc w:val="center"/>
                    </w:pPr>
                    <w:r>
                      <w:rPr>
                        <w:color w:val="C0C0C0"/>
                        <w:sz w:val="72"/>
                        <w:szCs w:val="72"/>
                      </w:rPr>
                      <w:t>Confidential</w:t>
                    </w:r>
                  </w:p>
                </w:txbxContent>
              </v:textbox>
              <w10:wrap anchorx="page" anchory="page"/>
              <w10:anchorlock/>
            </v:shape>
          </w:pict>
        </mc:Fallback>
      </mc:AlternateContent>
    </w:r>
    <w:r>
      <w:rPr>
        <w:noProof/>
        <w:sz w:val="20"/>
        <w:lang w:eastAsia="en-AU"/>
      </w:rPr>
      <mc:AlternateContent>
        <mc:Choice Requires="wps">
          <w:drawing>
            <wp:anchor distT="0" distB="0" distL="114300" distR="114300" simplePos="0" relativeHeight="251706368" behindDoc="1" locked="1" layoutInCell="1" allowOverlap="1" wp14:anchorId="037609FF" wp14:editId="1D416E07">
              <wp:simplePos x="0" y="0"/>
              <wp:positionH relativeFrom="page">
                <wp:posOffset>1800225</wp:posOffset>
              </wp:positionH>
              <wp:positionV relativeFrom="page">
                <wp:posOffset>2880360</wp:posOffset>
              </wp:positionV>
              <wp:extent cx="3959860" cy="3261360"/>
              <wp:effectExtent l="0" t="0" r="2540" b="0"/>
              <wp:wrapNone/>
              <wp:docPr id="1" name="WordArt 24" descr="Draft waterma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59860" cy="326136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E3450BC" w14:textId="77777777" w:rsidR="00CB36A9" w:rsidRDefault="00CB36A9" w:rsidP="00CB36A9">
                          <w:pPr>
                            <w:pStyle w:val="NormalWeb"/>
                            <w:spacing w:before="0" w:beforeAutospacing="0" w:after="0" w:afterAutospacing="0"/>
                            <w:jc w:val="center"/>
                          </w:pPr>
                          <w:r>
                            <w:rPr>
                              <w:color w:val="C0C0C0"/>
                              <w:sz w:val="72"/>
                              <w:szCs w:val="72"/>
                            </w:rPr>
                            <w:t>Draft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037609FF" id="WordArt 24" o:spid="_x0000_s1029" type="#_x0000_t202" alt="Draft watermark" style="position:absolute;margin-left:141.75pt;margin-top:226.8pt;width:311.8pt;height:256.8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" filled="f" stroked="f">
              <v:stroke joinstyle="round"/>
              <o:lock v:ext="edit" shapetype="t"/>
              <v:textbox style="mso-fit-shape-to-text:t">
                <w:txbxContent>
                  <w:p w14:paraId="2E3450BC" w14:textId="77777777" w:rsidR="00CB36A9" w:rsidRDefault="00CB36A9" w:rsidP="00CB36A9">
                    <w:pPr>
                      <w:pStyle w:val="NormalWeb"/>
                      <w:spacing w:before="0" w:beforeAutospacing="0" w:after="0" w:afterAutospacing="0"/>
                      <w:jc w:val="center"/>
                    </w:pPr>
                    <w:r>
                      <w:rPr>
                        <w:color w:val="C0C0C0"/>
                        <w:sz w:val="72"/>
                        <w:szCs w:val="72"/>
                      </w:rPr>
                      <w:t>Draft</w:t>
                    </w:r>
                  </w:p>
                </w:txbxContent>
              </v:textbox>
              <w10:wrap anchorx="page" anchory="page"/>
              <w10:anchorlock/>
            </v:shape>
          </w:pict>
        </mc:Fallback>
      </mc:AlternateContent>
    </w:r>
    <w:r w:rsidR="009F626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D16AC"/>
    <w:multiLevelType w:val="hybridMultilevel"/>
    <w:tmpl w:val="B096005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572120"/>
    <w:multiLevelType w:val="hybridMultilevel"/>
    <w:tmpl w:val="F1DADAA4"/>
    <w:lvl w:ilvl="0" w:tplc="0C090019">
      <w:start w:val="1"/>
      <w:numFmt w:val="lowerLetter"/>
      <w:lvlText w:val="%1."/>
      <w:lvlJc w:val="left"/>
      <w:pPr>
        <w:ind w:left="2487" w:hanging="360"/>
      </w:p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2" w15:restartNumberingAfterBreak="0">
    <w:nsid w:val="0F560748"/>
    <w:multiLevelType w:val="multilevel"/>
    <w:tmpl w:val="259AFFBE"/>
    <w:styleLink w:val="TableNumbers"/>
    <w:lvl w:ilvl="0">
      <w:start w:val="1"/>
      <w:numFmt w:val="none"/>
      <w:pStyle w:val="TableLevel1"/>
      <w:suff w:val="nothing"/>
      <w:lvlText w:val=""/>
      <w:lvlJc w:val="left"/>
      <w:pPr>
        <w:ind w:left="0" w:firstLine="0"/>
      </w:pPr>
      <w:rPr>
        <w:rFonts w:hint="default"/>
      </w:rPr>
    </w:lvl>
    <w:lvl w:ilvl="1">
      <w:start w:val="1"/>
      <w:numFmt w:val="lowerLetter"/>
      <w:pStyle w:val="TableLevel2"/>
      <w:lvlText w:val="(%2)"/>
      <w:lvlJc w:val="left"/>
      <w:pPr>
        <w:ind w:left="1106" w:hanging="397"/>
      </w:pPr>
      <w:rPr>
        <w:rFonts w:hint="default"/>
      </w:rPr>
    </w:lvl>
    <w:lvl w:ilvl="2">
      <w:start w:val="1"/>
      <w:numFmt w:val="lowerRoman"/>
      <w:pStyle w:val="TableLevel3"/>
      <w:lvlText w:val="(%3)"/>
      <w:lvlJc w:val="left"/>
      <w:pPr>
        <w:ind w:left="1503" w:hanging="39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FC93386"/>
    <w:multiLevelType w:val="hybridMultilevel"/>
    <w:tmpl w:val="055CE90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01755F"/>
    <w:multiLevelType w:val="multilevel"/>
    <w:tmpl w:val="1A8AA198"/>
    <w:styleLink w:val="AUASBListBullets"/>
    <w:lvl w:ilvl="0">
      <w:start w:val="1"/>
      <w:numFmt w:val="bullet"/>
      <w:pStyle w:val="ListBullet"/>
      <w:lvlText w:val=""/>
      <w:lvlJc w:val="left"/>
      <w:pPr>
        <w:tabs>
          <w:tab w:val="num" w:pos="709"/>
        </w:tabs>
        <w:ind w:left="1418" w:hanging="709"/>
      </w:pPr>
      <w:rPr>
        <w:rFonts w:ascii="Symbol" w:hAnsi="Symbol" w:hint="default"/>
        <w:color w:val="auto"/>
      </w:rPr>
    </w:lvl>
    <w:lvl w:ilvl="1">
      <w:start w:val="1"/>
      <w:numFmt w:val="bullet"/>
      <w:pStyle w:val="ListBullet2"/>
      <w:lvlText w:val="o"/>
      <w:lvlJc w:val="left"/>
      <w:pPr>
        <w:tabs>
          <w:tab w:val="num" w:pos="1418"/>
        </w:tabs>
        <w:ind w:left="2127" w:hanging="709"/>
      </w:pPr>
      <w:rPr>
        <w:rFonts w:ascii="Courier New" w:hAnsi="Courier New" w:hint="default"/>
      </w:rPr>
    </w:lvl>
    <w:lvl w:ilvl="2">
      <w:start w:val="1"/>
      <w:numFmt w:val="bullet"/>
      <w:pStyle w:val="ListBullet3"/>
      <w:lvlText w:val=""/>
      <w:lvlJc w:val="left"/>
      <w:pPr>
        <w:tabs>
          <w:tab w:val="num" w:pos="2127"/>
        </w:tabs>
        <w:ind w:left="2836" w:hanging="709"/>
      </w:pPr>
      <w:rPr>
        <w:rFonts w:ascii="Symbol" w:hAnsi="Symbol" w:hint="default"/>
        <w:color w:val="auto"/>
      </w:rPr>
    </w:lvl>
    <w:lvl w:ilvl="3">
      <w:start w:val="1"/>
      <w:numFmt w:val="bullet"/>
      <w:pStyle w:val="ListBullet4"/>
      <w:lvlText w:val=""/>
      <w:lvlJc w:val="left"/>
      <w:pPr>
        <w:tabs>
          <w:tab w:val="num" w:pos="2836"/>
        </w:tabs>
        <w:ind w:left="3545" w:hanging="709"/>
      </w:pPr>
      <w:rPr>
        <w:rFonts w:ascii="Symbol" w:hAnsi="Symbol" w:hint="default"/>
        <w:color w:val="auto"/>
      </w:rPr>
    </w:lvl>
    <w:lvl w:ilvl="4">
      <w:start w:val="1"/>
      <w:numFmt w:val="none"/>
      <w:lvlText w:val=""/>
      <w:lvlJc w:val="left"/>
      <w:pPr>
        <w:tabs>
          <w:tab w:val="num" w:pos="3545"/>
        </w:tabs>
        <w:ind w:left="4254" w:hanging="709"/>
      </w:pPr>
      <w:rPr>
        <w:rFonts w:hint="default"/>
      </w:rPr>
    </w:lvl>
    <w:lvl w:ilvl="5">
      <w:start w:val="1"/>
      <w:numFmt w:val="none"/>
      <w:lvlText w:val=""/>
      <w:lvlJc w:val="left"/>
      <w:pPr>
        <w:tabs>
          <w:tab w:val="num" w:pos="4254"/>
        </w:tabs>
        <w:ind w:left="4963" w:hanging="709"/>
      </w:pPr>
      <w:rPr>
        <w:rFonts w:hint="default"/>
      </w:rPr>
    </w:lvl>
    <w:lvl w:ilvl="6">
      <w:start w:val="1"/>
      <w:numFmt w:val="none"/>
      <w:lvlText w:val=""/>
      <w:lvlJc w:val="left"/>
      <w:pPr>
        <w:tabs>
          <w:tab w:val="num" w:pos="4963"/>
        </w:tabs>
        <w:ind w:left="5672" w:hanging="709"/>
      </w:pPr>
      <w:rPr>
        <w:rFonts w:hint="default"/>
      </w:rPr>
    </w:lvl>
    <w:lvl w:ilvl="7">
      <w:start w:val="1"/>
      <w:numFmt w:val="none"/>
      <w:lvlText w:val=""/>
      <w:lvlJc w:val="left"/>
      <w:pPr>
        <w:tabs>
          <w:tab w:val="num" w:pos="5672"/>
        </w:tabs>
        <w:ind w:left="6381" w:hanging="709"/>
      </w:pPr>
      <w:rPr>
        <w:rFonts w:hint="default"/>
      </w:rPr>
    </w:lvl>
    <w:lvl w:ilvl="8">
      <w:start w:val="1"/>
      <w:numFmt w:val="none"/>
      <w:lvlText w:val=""/>
      <w:lvlJc w:val="left"/>
      <w:pPr>
        <w:tabs>
          <w:tab w:val="num" w:pos="6381"/>
        </w:tabs>
        <w:ind w:left="7090" w:hanging="709"/>
      </w:pPr>
      <w:rPr>
        <w:rFonts w:hint="default"/>
      </w:rPr>
    </w:lvl>
  </w:abstractNum>
  <w:abstractNum w:abstractNumId="5" w15:restartNumberingAfterBreak="0">
    <w:nsid w:val="17320F7E"/>
    <w:multiLevelType w:val="multilevel"/>
    <w:tmpl w:val="259AFFBE"/>
    <w:numStyleLink w:val="TableNumbers"/>
  </w:abstractNum>
  <w:abstractNum w:abstractNumId="6" w15:restartNumberingAfterBreak="0">
    <w:nsid w:val="1ED62E04"/>
    <w:multiLevelType w:val="multilevel"/>
    <w:tmpl w:val="C13495F6"/>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7" w15:restartNumberingAfterBreak="0">
    <w:nsid w:val="233C5B6B"/>
    <w:multiLevelType w:val="multilevel"/>
    <w:tmpl w:val="1CA2DF28"/>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560"/>
        </w:tabs>
        <w:ind w:left="1560"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none"/>
      <w:lvlText w:val=""/>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8" w15:restartNumberingAfterBreak="0">
    <w:nsid w:val="235519F4"/>
    <w:multiLevelType w:val="hybridMultilevel"/>
    <w:tmpl w:val="B64AE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0" w15:restartNumberingAfterBreak="0">
    <w:nsid w:val="29FF4DFB"/>
    <w:multiLevelType w:val="hybridMultilevel"/>
    <w:tmpl w:val="35F8D96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035FD7"/>
    <w:multiLevelType w:val="hybridMultilevel"/>
    <w:tmpl w:val="055CE90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2E26BB"/>
    <w:multiLevelType w:val="hybridMultilevel"/>
    <w:tmpl w:val="60C4DD1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EE70E3"/>
    <w:multiLevelType w:val="multilevel"/>
    <w:tmpl w:val="213ED3EA"/>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9A23BD9"/>
    <w:multiLevelType w:val="hybridMultilevel"/>
    <w:tmpl w:val="809074BC"/>
    <w:lvl w:ilvl="0" w:tplc="FFFFFFFF">
      <w:start w:val="1"/>
      <w:numFmt w:val="bullet"/>
      <w:lvlText w:val=""/>
      <w:lvlJc w:val="left"/>
      <w:pPr>
        <w:tabs>
          <w:tab w:val="num" w:pos="1021"/>
        </w:tabs>
        <w:ind w:left="1021" w:hanging="511"/>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85002F"/>
    <w:multiLevelType w:val="multilevel"/>
    <w:tmpl w:val="259AFFBE"/>
    <w:numStyleLink w:val="TableNumbers"/>
  </w:abstractNum>
  <w:abstractNum w:abstractNumId="16" w15:restartNumberingAfterBreak="0">
    <w:nsid w:val="488C5431"/>
    <w:multiLevelType w:val="hybridMultilevel"/>
    <w:tmpl w:val="F1DADAA4"/>
    <w:lvl w:ilvl="0" w:tplc="0C090019">
      <w:start w:val="1"/>
      <w:numFmt w:val="lowerLetter"/>
      <w:lvlText w:val="%1."/>
      <w:lvlJc w:val="left"/>
      <w:pPr>
        <w:ind w:left="2487" w:hanging="360"/>
      </w:p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17" w15:restartNumberingAfterBreak="0">
    <w:nsid w:val="4BB63B74"/>
    <w:multiLevelType w:val="multilevel"/>
    <w:tmpl w:val="3EA83578"/>
    <w:lvl w:ilvl="0">
      <w:start w:val="1"/>
      <w:numFmt w:val="decimal"/>
      <w:pStyle w:val="ListNum1"/>
      <w:lvlText w:val="%1."/>
      <w:lvlJc w:val="left"/>
      <w:pPr>
        <w:tabs>
          <w:tab w:val="num" w:pos="709"/>
        </w:tabs>
        <w:ind w:left="709" w:hanging="709"/>
      </w:pPr>
      <w:rPr>
        <w:rFonts w:hint="default"/>
      </w:rPr>
    </w:lvl>
    <w:lvl w:ilvl="1">
      <w:start w:val="1"/>
      <w:numFmt w:val="lowerLetter"/>
      <w:pStyle w:val="ListNum2"/>
      <w:lvlText w:val="(%2)"/>
      <w:lvlJc w:val="left"/>
      <w:pPr>
        <w:tabs>
          <w:tab w:val="num" w:pos="1418"/>
        </w:tabs>
        <w:ind w:left="1418" w:hanging="709"/>
      </w:pPr>
      <w:rPr>
        <w:rFonts w:hint="default"/>
      </w:rPr>
    </w:lvl>
    <w:lvl w:ilvl="2">
      <w:start w:val="1"/>
      <w:numFmt w:val="lowerRoman"/>
      <w:pStyle w:val="ListNum3"/>
      <w:lvlText w:val="(%3)"/>
      <w:lvlJc w:val="left"/>
      <w:pPr>
        <w:tabs>
          <w:tab w:val="num" w:pos="2498"/>
        </w:tabs>
        <w:ind w:left="2126" w:hanging="70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48D53F6"/>
    <w:multiLevelType w:val="multilevel"/>
    <w:tmpl w:val="1A8AA198"/>
    <w:lvl w:ilvl="0">
      <w:start w:val="1"/>
      <w:numFmt w:val="bullet"/>
      <w:lvlText w:val=""/>
      <w:lvlJc w:val="left"/>
      <w:pPr>
        <w:tabs>
          <w:tab w:val="num" w:pos="0"/>
        </w:tabs>
        <w:ind w:left="709" w:hanging="709"/>
      </w:pPr>
      <w:rPr>
        <w:rFonts w:ascii="Symbol" w:hAnsi="Symbol" w:hint="default"/>
        <w:color w:val="auto"/>
      </w:rPr>
    </w:lvl>
    <w:lvl w:ilvl="1">
      <w:start w:val="1"/>
      <w:numFmt w:val="bullet"/>
      <w:lvlText w:val="o"/>
      <w:lvlJc w:val="left"/>
      <w:pPr>
        <w:tabs>
          <w:tab w:val="num" w:pos="709"/>
        </w:tabs>
        <w:ind w:left="1418" w:hanging="709"/>
      </w:pPr>
      <w:rPr>
        <w:rFonts w:ascii="Courier New" w:hAnsi="Courier New" w:hint="default"/>
      </w:rPr>
    </w:lvl>
    <w:lvl w:ilvl="2">
      <w:start w:val="1"/>
      <w:numFmt w:val="bullet"/>
      <w:lvlText w:val=""/>
      <w:lvlJc w:val="left"/>
      <w:pPr>
        <w:tabs>
          <w:tab w:val="num" w:pos="1418"/>
        </w:tabs>
        <w:ind w:left="2127" w:hanging="709"/>
      </w:pPr>
      <w:rPr>
        <w:rFonts w:ascii="Symbol" w:hAnsi="Symbol" w:hint="default"/>
        <w:color w:val="auto"/>
      </w:rPr>
    </w:lvl>
    <w:lvl w:ilvl="3">
      <w:start w:val="1"/>
      <w:numFmt w:val="bullet"/>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19" w15:restartNumberingAfterBreak="0">
    <w:nsid w:val="653567B0"/>
    <w:multiLevelType w:val="multilevel"/>
    <w:tmpl w:val="259AFFBE"/>
    <w:numStyleLink w:val="TableNumbers"/>
  </w:abstractNum>
  <w:abstractNum w:abstractNumId="20" w15:restartNumberingAfterBreak="0">
    <w:nsid w:val="69C02929"/>
    <w:multiLevelType w:val="hybridMultilevel"/>
    <w:tmpl w:val="7F847CDE"/>
    <w:lvl w:ilvl="0" w:tplc="4860E214">
      <w:start w:val="1"/>
      <w:numFmt w:val="bullet"/>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392D64"/>
    <w:multiLevelType w:val="hybridMultilevel"/>
    <w:tmpl w:val="1FA8B230"/>
    <w:lvl w:ilvl="0" w:tplc="5158F546">
      <w:start w:val="1"/>
      <w:numFmt w:val="bullet"/>
      <w:lvlText w:val=""/>
      <w:lvlJc w:val="left"/>
      <w:pPr>
        <w:tabs>
          <w:tab w:val="num" w:pos="709"/>
        </w:tabs>
        <w:ind w:left="709" w:hanging="709"/>
      </w:pPr>
      <w:rPr>
        <w:rFonts w:ascii="Symbol" w:hAnsi="Symbol" w:hint="default"/>
      </w:rPr>
    </w:lvl>
    <w:lvl w:ilvl="1" w:tplc="04090003">
      <w:start w:val="1"/>
      <w:numFmt w:val="bullet"/>
      <w:lvlText w:val="o"/>
      <w:lvlJc w:val="left"/>
      <w:pPr>
        <w:tabs>
          <w:tab w:val="num" w:pos="731"/>
        </w:tabs>
        <w:ind w:left="731" w:hanging="360"/>
      </w:pPr>
      <w:rPr>
        <w:rFonts w:ascii="Courier New" w:hAnsi="Courier New" w:cs="Times New Roman" w:hint="default"/>
      </w:rPr>
    </w:lvl>
    <w:lvl w:ilvl="2" w:tplc="04090005">
      <w:start w:val="1"/>
      <w:numFmt w:val="bullet"/>
      <w:lvlText w:val=""/>
      <w:lvlJc w:val="left"/>
      <w:pPr>
        <w:tabs>
          <w:tab w:val="num" w:pos="1451"/>
        </w:tabs>
        <w:ind w:left="1451" w:hanging="360"/>
      </w:pPr>
      <w:rPr>
        <w:rFonts w:ascii="Wingdings" w:hAnsi="Wingdings" w:hint="default"/>
      </w:rPr>
    </w:lvl>
    <w:lvl w:ilvl="3" w:tplc="04090001">
      <w:start w:val="1"/>
      <w:numFmt w:val="bullet"/>
      <w:lvlText w:val=""/>
      <w:lvlJc w:val="left"/>
      <w:pPr>
        <w:tabs>
          <w:tab w:val="num" w:pos="2171"/>
        </w:tabs>
        <w:ind w:left="2171" w:hanging="360"/>
      </w:pPr>
      <w:rPr>
        <w:rFonts w:ascii="Symbol" w:hAnsi="Symbol" w:hint="default"/>
      </w:rPr>
    </w:lvl>
    <w:lvl w:ilvl="4" w:tplc="04090003">
      <w:start w:val="1"/>
      <w:numFmt w:val="bullet"/>
      <w:lvlText w:val="o"/>
      <w:lvlJc w:val="left"/>
      <w:pPr>
        <w:tabs>
          <w:tab w:val="num" w:pos="2891"/>
        </w:tabs>
        <w:ind w:left="2891" w:hanging="360"/>
      </w:pPr>
      <w:rPr>
        <w:rFonts w:ascii="Courier New" w:hAnsi="Courier New" w:cs="Times New Roman" w:hint="default"/>
      </w:rPr>
    </w:lvl>
    <w:lvl w:ilvl="5" w:tplc="04090005">
      <w:start w:val="1"/>
      <w:numFmt w:val="bullet"/>
      <w:lvlText w:val=""/>
      <w:lvlJc w:val="left"/>
      <w:pPr>
        <w:tabs>
          <w:tab w:val="num" w:pos="3611"/>
        </w:tabs>
        <w:ind w:left="3611" w:hanging="360"/>
      </w:pPr>
      <w:rPr>
        <w:rFonts w:ascii="Wingdings" w:hAnsi="Wingdings" w:hint="default"/>
      </w:rPr>
    </w:lvl>
    <w:lvl w:ilvl="6" w:tplc="04090001">
      <w:start w:val="1"/>
      <w:numFmt w:val="bullet"/>
      <w:lvlText w:val=""/>
      <w:lvlJc w:val="left"/>
      <w:pPr>
        <w:tabs>
          <w:tab w:val="num" w:pos="4331"/>
        </w:tabs>
        <w:ind w:left="4331" w:hanging="360"/>
      </w:pPr>
      <w:rPr>
        <w:rFonts w:ascii="Symbol" w:hAnsi="Symbol" w:hint="default"/>
      </w:rPr>
    </w:lvl>
    <w:lvl w:ilvl="7" w:tplc="04090003">
      <w:start w:val="1"/>
      <w:numFmt w:val="bullet"/>
      <w:lvlText w:val="o"/>
      <w:lvlJc w:val="left"/>
      <w:pPr>
        <w:tabs>
          <w:tab w:val="num" w:pos="5051"/>
        </w:tabs>
        <w:ind w:left="5051" w:hanging="360"/>
      </w:pPr>
      <w:rPr>
        <w:rFonts w:ascii="Courier New" w:hAnsi="Courier New" w:cs="Times New Roman" w:hint="default"/>
      </w:rPr>
    </w:lvl>
    <w:lvl w:ilvl="8" w:tplc="04090005">
      <w:start w:val="1"/>
      <w:numFmt w:val="bullet"/>
      <w:lvlText w:val=""/>
      <w:lvlJc w:val="left"/>
      <w:pPr>
        <w:tabs>
          <w:tab w:val="num" w:pos="5771"/>
        </w:tabs>
        <w:ind w:left="5771" w:hanging="360"/>
      </w:pPr>
      <w:rPr>
        <w:rFonts w:ascii="Wingdings" w:hAnsi="Wingdings" w:hint="default"/>
      </w:rPr>
    </w:lvl>
  </w:abstractNum>
  <w:abstractNum w:abstractNumId="22" w15:restartNumberingAfterBreak="0">
    <w:nsid w:val="7B7A5781"/>
    <w:multiLevelType w:val="hybridMultilevel"/>
    <w:tmpl w:val="D0328CDC"/>
    <w:lvl w:ilvl="0" w:tplc="777AF3A0">
      <w:start w:val="1"/>
      <w:numFmt w:val="lowerLetter"/>
      <w:lvlText w:val="(%1)"/>
      <w:lvlJc w:val="left"/>
      <w:pPr>
        <w:ind w:left="2138" w:hanging="360"/>
      </w:pPr>
      <w:rPr>
        <w:rFonts w:hint="default"/>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num w:numId="1">
    <w:abstractNumId w:val="4"/>
  </w:num>
  <w:num w:numId="2">
    <w:abstractNumId w:val="6"/>
  </w:num>
  <w:num w:numId="3">
    <w:abstractNumId w:val="7"/>
    <w:lvlOverride w:ilvl="0">
      <w:lvl w:ilvl="0">
        <w:start w:val="1"/>
        <w:numFmt w:val="decimal"/>
        <w:pStyle w:val="ParaLevel1"/>
        <w:lvlText w:val="%1."/>
        <w:lvlJc w:val="left"/>
        <w:pPr>
          <w:tabs>
            <w:tab w:val="num" w:pos="709"/>
          </w:tabs>
          <w:ind w:left="709" w:hanging="709"/>
        </w:pPr>
        <w:rPr>
          <w:rFonts w:hint="default"/>
        </w:rPr>
      </w:lvl>
    </w:lvlOverride>
    <w:lvlOverride w:ilvl="1">
      <w:lvl w:ilvl="1">
        <w:start w:val="1"/>
        <w:numFmt w:val="lowerLetter"/>
        <w:pStyle w:val="ParaLevel2"/>
        <w:lvlText w:val="(%2)"/>
        <w:lvlJc w:val="left"/>
        <w:pPr>
          <w:tabs>
            <w:tab w:val="num" w:pos="1560"/>
          </w:tabs>
          <w:ind w:left="1560" w:hanging="709"/>
        </w:pPr>
        <w:rPr>
          <w:rFonts w:hint="default"/>
        </w:rPr>
      </w:lvl>
    </w:lvlOverride>
    <w:lvlOverride w:ilvl="2">
      <w:lvl w:ilvl="2">
        <w:start w:val="1"/>
        <w:numFmt w:val="lowerRoman"/>
        <w:pStyle w:val="ParaLevel3"/>
        <w:lvlText w:val="(%3)"/>
        <w:lvlJc w:val="left"/>
        <w:pPr>
          <w:tabs>
            <w:tab w:val="num" w:pos="2127"/>
          </w:tabs>
          <w:ind w:left="2127" w:hanging="709"/>
        </w:pPr>
        <w:rPr>
          <w:rFonts w:hint="default"/>
        </w:rPr>
      </w:lvl>
    </w:lvlOverride>
    <w:lvlOverride w:ilvl="3">
      <w:lvl w:ilvl="3">
        <w:start w:val="1"/>
        <w:numFmt w:val="none"/>
        <w:lvlText w:val=""/>
        <w:lvlJc w:val="left"/>
        <w:pPr>
          <w:tabs>
            <w:tab w:val="num" w:pos="2836"/>
          </w:tabs>
          <w:ind w:left="2836" w:hanging="709"/>
        </w:pPr>
        <w:rPr>
          <w:rFonts w:hint="default"/>
        </w:rPr>
      </w:lvl>
    </w:lvlOverride>
    <w:lvlOverride w:ilvl="4">
      <w:lvl w:ilvl="4">
        <w:start w:val="1"/>
        <w:numFmt w:val="none"/>
        <w:lvlText w:val=""/>
        <w:lvlJc w:val="left"/>
        <w:pPr>
          <w:tabs>
            <w:tab w:val="num" w:pos="3545"/>
          </w:tabs>
          <w:ind w:left="3545" w:hanging="709"/>
        </w:pPr>
        <w:rPr>
          <w:rFonts w:hint="default"/>
        </w:rPr>
      </w:lvl>
    </w:lvlOverride>
    <w:lvlOverride w:ilvl="5">
      <w:lvl w:ilvl="5">
        <w:start w:val="1"/>
        <w:numFmt w:val="none"/>
        <w:lvlText w:val=""/>
        <w:lvlJc w:val="left"/>
        <w:pPr>
          <w:tabs>
            <w:tab w:val="num" w:pos="4254"/>
          </w:tabs>
          <w:ind w:left="4254" w:hanging="709"/>
        </w:pPr>
        <w:rPr>
          <w:rFonts w:hint="default"/>
        </w:rPr>
      </w:lvl>
    </w:lvlOverride>
    <w:lvlOverride w:ilvl="6">
      <w:lvl w:ilvl="6">
        <w:start w:val="1"/>
        <w:numFmt w:val="none"/>
        <w:lvlText w:val=""/>
        <w:lvlJc w:val="left"/>
        <w:pPr>
          <w:tabs>
            <w:tab w:val="num" w:pos="4963"/>
          </w:tabs>
          <w:ind w:left="4963" w:hanging="709"/>
        </w:pPr>
        <w:rPr>
          <w:rFonts w:hint="default"/>
        </w:rPr>
      </w:lvl>
    </w:lvlOverride>
    <w:lvlOverride w:ilvl="7">
      <w:lvl w:ilvl="7">
        <w:start w:val="1"/>
        <w:numFmt w:val="none"/>
        <w:lvlText w:val=""/>
        <w:lvlJc w:val="left"/>
        <w:pPr>
          <w:tabs>
            <w:tab w:val="num" w:pos="5672"/>
          </w:tabs>
          <w:ind w:left="5672" w:hanging="709"/>
        </w:pPr>
        <w:rPr>
          <w:rFonts w:hint="default"/>
        </w:rPr>
      </w:lvl>
    </w:lvlOverride>
    <w:lvlOverride w:ilvl="8">
      <w:lvl w:ilvl="8">
        <w:start w:val="1"/>
        <w:numFmt w:val="none"/>
        <w:lvlText w:val=""/>
        <w:lvlJc w:val="left"/>
        <w:pPr>
          <w:tabs>
            <w:tab w:val="num" w:pos="6381"/>
          </w:tabs>
          <w:ind w:left="6381" w:hanging="709"/>
        </w:pPr>
        <w:rPr>
          <w:rFonts w:hint="default"/>
        </w:rPr>
      </w:lvl>
    </w:lvlOverride>
  </w:num>
  <w:num w:numId="4">
    <w:abstractNumId w:val="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15"/>
  </w:num>
  <w:num w:numId="9">
    <w:abstractNumId w:val="19"/>
  </w:num>
  <w:num w:numId="10">
    <w:abstractNumId w:val="13"/>
  </w:num>
  <w:num w:numId="11">
    <w:abstractNumId w:val="17"/>
  </w:num>
  <w:num w:numId="12">
    <w:abstractNumId w:val="18"/>
  </w:num>
  <w:num w:numId="13">
    <w:abstractNumId w:val="11"/>
  </w:num>
  <w:num w:numId="14">
    <w:abstractNumId w:val="12"/>
  </w:num>
  <w:num w:numId="15">
    <w:abstractNumId w:val="0"/>
  </w:num>
  <w:num w:numId="16">
    <w:abstractNumId w:val="16"/>
  </w:num>
  <w:num w:numId="17">
    <w:abstractNumId w:val="22"/>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4"/>
  </w:num>
  <w:num w:numId="22">
    <w:abstractNumId w:val="4"/>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3"/>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7"/>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num>
  <w:num w:numId="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
  </w:num>
  <w:num w:numId="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num>
  <w:num w:numId="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num>
  <w:num w:numId="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num>
  <w:num w:numId="59">
    <w:abstractNumId w:val="14"/>
  </w:num>
  <w:num w:numId="60">
    <w:abstractNumId w:val="4"/>
  </w:num>
  <w:num w:numId="61">
    <w:abstractNumId w:val="4"/>
  </w:num>
  <w:num w:numId="62">
    <w:abstractNumId w:val="4"/>
  </w:num>
  <w:num w:numId="63">
    <w:abstractNumId w:val="4"/>
  </w:num>
  <w:num w:numId="64">
    <w:abstractNumId w:val="7"/>
    <w:lvlOverride w:ilvl="1">
      <w:lvl w:ilvl="1">
        <w:start w:val="1"/>
        <w:numFmt w:val="lowerLetter"/>
        <w:pStyle w:val="ParaLevel2"/>
        <w:lvlText w:val="(%2)"/>
        <w:lvlJc w:val="left"/>
        <w:pPr>
          <w:tabs>
            <w:tab w:val="num" w:pos="1418"/>
          </w:tabs>
          <w:ind w:left="1418" w:hanging="709"/>
        </w:pPr>
        <w:rPr>
          <w:rFonts w:hint="default"/>
          <w:u w:val="none"/>
        </w:rPr>
      </w:lvl>
    </w:lvlOverride>
    <w:lvlOverride w:ilvl="0"/>
  </w:num>
  <w:num w:numId="65">
    <w:abstractNumId w:val="6"/>
  </w:num>
  <w:num w:numId="66">
    <w:abstractNumId w:val="6"/>
  </w:num>
  <w:num w:numId="67">
    <w:abstractNumId w:val="7"/>
    <w:lvlOverride w:ilvl="0">
      <w:startOverride w:val="1"/>
      <w:lvl w:ilvl="0">
        <w:start w:val="1"/>
        <w:numFmt w:val="decimal"/>
        <w:pStyle w:val="ParaLevel1"/>
        <w:lvlText w:val="%1."/>
        <w:lvlJc w:val="left"/>
        <w:pPr>
          <w:tabs>
            <w:tab w:val="num" w:pos="709"/>
          </w:tabs>
          <w:ind w:left="709" w:hanging="709"/>
        </w:pPr>
        <w:rPr>
          <w:rFonts w:hint="default"/>
        </w:rPr>
      </w:lvl>
    </w:lvlOverride>
    <w:lvlOverride w:ilvl="1">
      <w:startOverride w:val="1"/>
      <w:lvl w:ilvl="1">
        <w:start w:val="1"/>
        <w:numFmt w:val="lowerLetter"/>
        <w:pStyle w:val="ParaLevel2"/>
        <w:lvlText w:val="(%2)"/>
        <w:lvlJc w:val="left"/>
        <w:pPr>
          <w:tabs>
            <w:tab w:val="num" w:pos="1560"/>
          </w:tabs>
          <w:ind w:left="1560" w:hanging="709"/>
        </w:pPr>
        <w:rPr>
          <w:rFonts w:hint="default"/>
        </w:rPr>
      </w:lvl>
    </w:lvlOverride>
    <w:lvlOverride w:ilvl="2">
      <w:startOverride w:val="1"/>
      <w:lvl w:ilvl="2">
        <w:start w:val="1"/>
        <w:numFmt w:val="lowerRoman"/>
        <w:pStyle w:val="ParaLevel3"/>
        <w:lvlText w:val="(%3)"/>
        <w:lvlJc w:val="left"/>
        <w:pPr>
          <w:tabs>
            <w:tab w:val="num" w:pos="2127"/>
          </w:tabs>
          <w:ind w:left="2127" w:hanging="709"/>
        </w:pPr>
        <w:rPr>
          <w:rFonts w:hint="default"/>
        </w:rPr>
      </w:lvl>
    </w:lvlOverride>
    <w:lvlOverride w:ilvl="3">
      <w:startOverride w:val="1"/>
      <w:lvl w:ilvl="3">
        <w:start w:val="1"/>
        <w:numFmt w:val="none"/>
        <w:lvlText w:val=""/>
        <w:lvlJc w:val="left"/>
        <w:pPr>
          <w:tabs>
            <w:tab w:val="num" w:pos="2836"/>
          </w:tabs>
          <w:ind w:left="2836" w:hanging="709"/>
        </w:pPr>
        <w:rPr>
          <w:rFonts w:hint="default"/>
        </w:rPr>
      </w:lvl>
    </w:lvlOverride>
    <w:lvlOverride w:ilvl="4">
      <w:startOverride w:val="1"/>
      <w:lvl w:ilvl="4">
        <w:start w:val="1"/>
        <w:numFmt w:val="none"/>
        <w:lvlText w:val=""/>
        <w:lvlJc w:val="left"/>
        <w:pPr>
          <w:tabs>
            <w:tab w:val="num" w:pos="3545"/>
          </w:tabs>
          <w:ind w:left="3545" w:hanging="709"/>
        </w:pPr>
        <w:rPr>
          <w:rFonts w:hint="default"/>
        </w:rPr>
      </w:lvl>
    </w:lvlOverride>
    <w:lvlOverride w:ilvl="5">
      <w:startOverride w:val="1"/>
      <w:lvl w:ilvl="5">
        <w:start w:val="1"/>
        <w:numFmt w:val="none"/>
        <w:lvlText w:val=""/>
        <w:lvlJc w:val="left"/>
        <w:pPr>
          <w:tabs>
            <w:tab w:val="num" w:pos="4254"/>
          </w:tabs>
          <w:ind w:left="4254" w:hanging="709"/>
        </w:pPr>
        <w:rPr>
          <w:rFonts w:hint="default"/>
        </w:rPr>
      </w:lvl>
    </w:lvlOverride>
    <w:lvlOverride w:ilvl="6">
      <w:startOverride w:val="1"/>
      <w:lvl w:ilvl="6">
        <w:start w:val="1"/>
        <w:numFmt w:val="none"/>
        <w:lvlText w:val=""/>
        <w:lvlJc w:val="left"/>
        <w:pPr>
          <w:tabs>
            <w:tab w:val="num" w:pos="4963"/>
          </w:tabs>
          <w:ind w:left="4963" w:hanging="709"/>
        </w:pPr>
        <w:rPr>
          <w:rFonts w:hint="default"/>
        </w:rPr>
      </w:lvl>
    </w:lvlOverride>
    <w:lvlOverride w:ilvl="7">
      <w:startOverride w:val="1"/>
      <w:lvl w:ilvl="7">
        <w:start w:val="1"/>
        <w:numFmt w:val="none"/>
        <w:lvlText w:val=""/>
        <w:lvlJc w:val="left"/>
        <w:pPr>
          <w:tabs>
            <w:tab w:val="num" w:pos="5672"/>
          </w:tabs>
          <w:ind w:left="5672" w:hanging="709"/>
        </w:pPr>
        <w:rPr>
          <w:rFonts w:hint="default"/>
        </w:rPr>
      </w:lvl>
    </w:lvlOverride>
    <w:lvlOverride w:ilvl="8">
      <w:startOverride w:val="1"/>
      <w:lvl w:ilvl="8">
        <w:start w:val="1"/>
        <w:numFmt w:val="none"/>
        <w:lvlText w:val=""/>
        <w:lvlJc w:val="left"/>
        <w:pPr>
          <w:tabs>
            <w:tab w:val="num" w:pos="6381"/>
          </w:tabs>
          <w:ind w:left="6381" w:hanging="709"/>
        </w:pPr>
        <w:rPr>
          <w:rFonts w:hint="default"/>
        </w:rPr>
      </w:lvl>
    </w:lvlOverride>
  </w:num>
  <w:num w:numId="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
    <w:lvlOverride w:ilvl="0">
      <w:startOverride w:val="1"/>
      <w:lvl w:ilvl="0">
        <w:start w:val="1"/>
        <w:numFmt w:val="decimal"/>
        <w:pStyle w:val="ParaLevel1"/>
        <w:lvlText w:val="%1."/>
        <w:lvlJc w:val="left"/>
        <w:pPr>
          <w:tabs>
            <w:tab w:val="num" w:pos="709"/>
          </w:tabs>
          <w:ind w:left="709" w:hanging="709"/>
        </w:pPr>
        <w:rPr>
          <w:rFonts w:hint="default"/>
        </w:rPr>
      </w:lvl>
    </w:lvlOverride>
    <w:lvlOverride w:ilvl="1">
      <w:startOverride w:val="1"/>
      <w:lvl w:ilvl="1">
        <w:start w:val="1"/>
        <w:numFmt w:val="lowerLetter"/>
        <w:pStyle w:val="ParaLevel2"/>
        <w:lvlText w:val="(%2)"/>
        <w:lvlJc w:val="left"/>
        <w:pPr>
          <w:tabs>
            <w:tab w:val="num" w:pos="1560"/>
          </w:tabs>
          <w:ind w:left="1560" w:hanging="709"/>
        </w:pPr>
        <w:rPr>
          <w:rFonts w:hint="default"/>
        </w:rPr>
      </w:lvl>
    </w:lvlOverride>
    <w:lvlOverride w:ilvl="2">
      <w:startOverride w:val="1"/>
      <w:lvl w:ilvl="2">
        <w:start w:val="1"/>
        <w:numFmt w:val="lowerRoman"/>
        <w:pStyle w:val="ParaLevel3"/>
        <w:lvlText w:val="(%3)"/>
        <w:lvlJc w:val="left"/>
        <w:pPr>
          <w:tabs>
            <w:tab w:val="num" w:pos="2127"/>
          </w:tabs>
          <w:ind w:left="2127" w:hanging="709"/>
        </w:pPr>
        <w:rPr>
          <w:rFonts w:hint="default"/>
        </w:rPr>
      </w:lvl>
    </w:lvlOverride>
    <w:lvlOverride w:ilvl="3">
      <w:startOverride w:val="1"/>
      <w:lvl w:ilvl="3">
        <w:start w:val="1"/>
        <w:numFmt w:val="none"/>
        <w:lvlText w:val=""/>
        <w:lvlJc w:val="left"/>
        <w:pPr>
          <w:tabs>
            <w:tab w:val="num" w:pos="2836"/>
          </w:tabs>
          <w:ind w:left="2836" w:hanging="709"/>
        </w:pPr>
        <w:rPr>
          <w:rFonts w:hint="default"/>
        </w:rPr>
      </w:lvl>
    </w:lvlOverride>
    <w:lvlOverride w:ilvl="4">
      <w:startOverride w:val="1"/>
      <w:lvl w:ilvl="4">
        <w:start w:val="1"/>
        <w:numFmt w:val="none"/>
        <w:lvlText w:val=""/>
        <w:lvlJc w:val="left"/>
        <w:pPr>
          <w:tabs>
            <w:tab w:val="num" w:pos="3545"/>
          </w:tabs>
          <w:ind w:left="3545" w:hanging="709"/>
        </w:pPr>
        <w:rPr>
          <w:rFonts w:hint="default"/>
        </w:rPr>
      </w:lvl>
    </w:lvlOverride>
    <w:lvlOverride w:ilvl="5">
      <w:startOverride w:val="1"/>
      <w:lvl w:ilvl="5">
        <w:start w:val="1"/>
        <w:numFmt w:val="none"/>
        <w:lvlText w:val=""/>
        <w:lvlJc w:val="left"/>
        <w:pPr>
          <w:tabs>
            <w:tab w:val="num" w:pos="4254"/>
          </w:tabs>
          <w:ind w:left="4254" w:hanging="709"/>
        </w:pPr>
        <w:rPr>
          <w:rFonts w:hint="default"/>
        </w:rPr>
      </w:lvl>
    </w:lvlOverride>
    <w:lvlOverride w:ilvl="6">
      <w:startOverride w:val="1"/>
      <w:lvl w:ilvl="6">
        <w:start w:val="1"/>
        <w:numFmt w:val="none"/>
        <w:lvlText w:val=""/>
        <w:lvlJc w:val="left"/>
        <w:pPr>
          <w:tabs>
            <w:tab w:val="num" w:pos="4963"/>
          </w:tabs>
          <w:ind w:left="4963" w:hanging="709"/>
        </w:pPr>
        <w:rPr>
          <w:rFonts w:hint="default"/>
        </w:rPr>
      </w:lvl>
    </w:lvlOverride>
    <w:lvlOverride w:ilvl="7">
      <w:startOverride w:val="1"/>
      <w:lvl w:ilvl="7">
        <w:start w:val="1"/>
        <w:numFmt w:val="none"/>
        <w:lvlText w:val=""/>
        <w:lvlJc w:val="left"/>
        <w:pPr>
          <w:tabs>
            <w:tab w:val="num" w:pos="5672"/>
          </w:tabs>
          <w:ind w:left="5672" w:hanging="709"/>
        </w:pPr>
        <w:rPr>
          <w:rFonts w:hint="default"/>
        </w:rPr>
      </w:lvl>
    </w:lvlOverride>
    <w:lvlOverride w:ilvl="8">
      <w:startOverride w:val="1"/>
      <w:lvl w:ilvl="8">
        <w:start w:val="1"/>
        <w:numFmt w:val="none"/>
        <w:lvlText w:val=""/>
        <w:lvlJc w:val="left"/>
        <w:pPr>
          <w:tabs>
            <w:tab w:val="num" w:pos="6381"/>
          </w:tabs>
          <w:ind w:left="6381" w:hanging="709"/>
        </w:pPr>
        <w:rPr>
          <w:rFonts w:hint="default"/>
        </w:rPr>
      </w:lvl>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intFractionalCharacterWidth/>
  <w:hideGrammaticalErrors/>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6145">
      <o:colormru v:ext="edit" colors="#ddd,silver,#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D3"/>
    <w:rsid w:val="00001429"/>
    <w:rsid w:val="0000450C"/>
    <w:rsid w:val="0000664A"/>
    <w:rsid w:val="000137EF"/>
    <w:rsid w:val="00015F83"/>
    <w:rsid w:val="00016C03"/>
    <w:rsid w:val="00017794"/>
    <w:rsid w:val="00020842"/>
    <w:rsid w:val="00024F56"/>
    <w:rsid w:val="00037BF1"/>
    <w:rsid w:val="000402D8"/>
    <w:rsid w:val="000423EA"/>
    <w:rsid w:val="00047298"/>
    <w:rsid w:val="00050BF5"/>
    <w:rsid w:val="00051AD7"/>
    <w:rsid w:val="00054CCA"/>
    <w:rsid w:val="00056F20"/>
    <w:rsid w:val="00061C75"/>
    <w:rsid w:val="00062478"/>
    <w:rsid w:val="00063657"/>
    <w:rsid w:val="00063FAE"/>
    <w:rsid w:val="000651BD"/>
    <w:rsid w:val="00066229"/>
    <w:rsid w:val="000768CA"/>
    <w:rsid w:val="000804F0"/>
    <w:rsid w:val="00080552"/>
    <w:rsid w:val="0008225B"/>
    <w:rsid w:val="000838D8"/>
    <w:rsid w:val="0008431E"/>
    <w:rsid w:val="00085B65"/>
    <w:rsid w:val="00087D11"/>
    <w:rsid w:val="00095091"/>
    <w:rsid w:val="00095D4F"/>
    <w:rsid w:val="00096B2B"/>
    <w:rsid w:val="00097BDA"/>
    <w:rsid w:val="000A1B5A"/>
    <w:rsid w:val="000A2F4F"/>
    <w:rsid w:val="000B0065"/>
    <w:rsid w:val="000B1472"/>
    <w:rsid w:val="000B45D2"/>
    <w:rsid w:val="000B579F"/>
    <w:rsid w:val="000B6092"/>
    <w:rsid w:val="000C5294"/>
    <w:rsid w:val="000D1A44"/>
    <w:rsid w:val="000D2124"/>
    <w:rsid w:val="000D242B"/>
    <w:rsid w:val="000D243E"/>
    <w:rsid w:val="000E5FA6"/>
    <w:rsid w:val="000E7651"/>
    <w:rsid w:val="000F1DEA"/>
    <w:rsid w:val="000F3D05"/>
    <w:rsid w:val="000F5180"/>
    <w:rsid w:val="00104AED"/>
    <w:rsid w:val="00105B19"/>
    <w:rsid w:val="001100E4"/>
    <w:rsid w:val="00110835"/>
    <w:rsid w:val="00112D4A"/>
    <w:rsid w:val="001133B4"/>
    <w:rsid w:val="0011476B"/>
    <w:rsid w:val="00115E2C"/>
    <w:rsid w:val="00116572"/>
    <w:rsid w:val="00120230"/>
    <w:rsid w:val="00120A5F"/>
    <w:rsid w:val="00122DA5"/>
    <w:rsid w:val="00124D7C"/>
    <w:rsid w:val="00130952"/>
    <w:rsid w:val="0013658F"/>
    <w:rsid w:val="00142F1E"/>
    <w:rsid w:val="00142F1F"/>
    <w:rsid w:val="0014590C"/>
    <w:rsid w:val="00151917"/>
    <w:rsid w:val="00154B1E"/>
    <w:rsid w:val="00156235"/>
    <w:rsid w:val="00157874"/>
    <w:rsid w:val="00160A91"/>
    <w:rsid w:val="00161F20"/>
    <w:rsid w:val="00162BF6"/>
    <w:rsid w:val="00167387"/>
    <w:rsid w:val="00171A1D"/>
    <w:rsid w:val="00181DD0"/>
    <w:rsid w:val="00184705"/>
    <w:rsid w:val="0019585A"/>
    <w:rsid w:val="001970E9"/>
    <w:rsid w:val="001A25AE"/>
    <w:rsid w:val="001A38E8"/>
    <w:rsid w:val="001A653A"/>
    <w:rsid w:val="001A728C"/>
    <w:rsid w:val="001B42FB"/>
    <w:rsid w:val="001B5857"/>
    <w:rsid w:val="001B70FB"/>
    <w:rsid w:val="001B75C7"/>
    <w:rsid w:val="001C00FE"/>
    <w:rsid w:val="001C07C4"/>
    <w:rsid w:val="001C5EDF"/>
    <w:rsid w:val="001C671A"/>
    <w:rsid w:val="001C6A39"/>
    <w:rsid w:val="001D08F4"/>
    <w:rsid w:val="001D653F"/>
    <w:rsid w:val="001E4433"/>
    <w:rsid w:val="001F0E0C"/>
    <w:rsid w:val="001F3CFC"/>
    <w:rsid w:val="001F4516"/>
    <w:rsid w:val="002042B5"/>
    <w:rsid w:val="002060B4"/>
    <w:rsid w:val="0021016E"/>
    <w:rsid w:val="00220A36"/>
    <w:rsid w:val="00222D31"/>
    <w:rsid w:val="00223FF7"/>
    <w:rsid w:val="00231133"/>
    <w:rsid w:val="002325A2"/>
    <w:rsid w:val="00232AB3"/>
    <w:rsid w:val="00237187"/>
    <w:rsid w:val="00242443"/>
    <w:rsid w:val="002460B7"/>
    <w:rsid w:val="002527C5"/>
    <w:rsid w:val="002527FD"/>
    <w:rsid w:val="002531EB"/>
    <w:rsid w:val="0025349C"/>
    <w:rsid w:val="002547A5"/>
    <w:rsid w:val="00257B30"/>
    <w:rsid w:val="002620D2"/>
    <w:rsid w:val="00262DBD"/>
    <w:rsid w:val="00265A6E"/>
    <w:rsid w:val="00270E3E"/>
    <w:rsid w:val="00272032"/>
    <w:rsid w:val="00274FCE"/>
    <w:rsid w:val="00275B74"/>
    <w:rsid w:val="00277A56"/>
    <w:rsid w:val="00283C03"/>
    <w:rsid w:val="00284014"/>
    <w:rsid w:val="00285527"/>
    <w:rsid w:val="00285EF7"/>
    <w:rsid w:val="00287D3A"/>
    <w:rsid w:val="00290BB1"/>
    <w:rsid w:val="002958B1"/>
    <w:rsid w:val="00295A84"/>
    <w:rsid w:val="00297D3E"/>
    <w:rsid w:val="002A0143"/>
    <w:rsid w:val="002A06CB"/>
    <w:rsid w:val="002A2D68"/>
    <w:rsid w:val="002B1B75"/>
    <w:rsid w:val="002D25C3"/>
    <w:rsid w:val="002D3424"/>
    <w:rsid w:val="002D5735"/>
    <w:rsid w:val="002D7E51"/>
    <w:rsid w:val="002E0045"/>
    <w:rsid w:val="002E00F8"/>
    <w:rsid w:val="002E3852"/>
    <w:rsid w:val="002E4107"/>
    <w:rsid w:val="002E5F35"/>
    <w:rsid w:val="00300E89"/>
    <w:rsid w:val="00301C19"/>
    <w:rsid w:val="003041EA"/>
    <w:rsid w:val="00306690"/>
    <w:rsid w:val="003151B5"/>
    <w:rsid w:val="003169BB"/>
    <w:rsid w:val="00316D36"/>
    <w:rsid w:val="003214EA"/>
    <w:rsid w:val="00323B44"/>
    <w:rsid w:val="00324997"/>
    <w:rsid w:val="00324E2F"/>
    <w:rsid w:val="00330F60"/>
    <w:rsid w:val="00331C6B"/>
    <w:rsid w:val="00333002"/>
    <w:rsid w:val="00333239"/>
    <w:rsid w:val="00334F5D"/>
    <w:rsid w:val="00342AEB"/>
    <w:rsid w:val="003522A7"/>
    <w:rsid w:val="00354EDE"/>
    <w:rsid w:val="0035556F"/>
    <w:rsid w:val="003569DA"/>
    <w:rsid w:val="00363639"/>
    <w:rsid w:val="003663DE"/>
    <w:rsid w:val="0037659A"/>
    <w:rsid w:val="00376D05"/>
    <w:rsid w:val="0037781A"/>
    <w:rsid w:val="00377BCA"/>
    <w:rsid w:val="00383F6E"/>
    <w:rsid w:val="0038540B"/>
    <w:rsid w:val="00386C4E"/>
    <w:rsid w:val="003907C2"/>
    <w:rsid w:val="00391F52"/>
    <w:rsid w:val="0039623A"/>
    <w:rsid w:val="003A03DE"/>
    <w:rsid w:val="003A0536"/>
    <w:rsid w:val="003A0F68"/>
    <w:rsid w:val="003A5223"/>
    <w:rsid w:val="003A674A"/>
    <w:rsid w:val="003B0028"/>
    <w:rsid w:val="003B0290"/>
    <w:rsid w:val="003B0C9A"/>
    <w:rsid w:val="003B4B78"/>
    <w:rsid w:val="003B5E5E"/>
    <w:rsid w:val="003B7639"/>
    <w:rsid w:val="003D5000"/>
    <w:rsid w:val="003D549C"/>
    <w:rsid w:val="003E2E90"/>
    <w:rsid w:val="003F43B2"/>
    <w:rsid w:val="00400DDC"/>
    <w:rsid w:val="00404E72"/>
    <w:rsid w:val="004123DE"/>
    <w:rsid w:val="00413F49"/>
    <w:rsid w:val="0041572F"/>
    <w:rsid w:val="00415CCA"/>
    <w:rsid w:val="00417D52"/>
    <w:rsid w:val="0042056B"/>
    <w:rsid w:val="00420F6F"/>
    <w:rsid w:val="004230B8"/>
    <w:rsid w:val="0042376E"/>
    <w:rsid w:val="004246A3"/>
    <w:rsid w:val="00430350"/>
    <w:rsid w:val="00434547"/>
    <w:rsid w:val="0043749A"/>
    <w:rsid w:val="00441155"/>
    <w:rsid w:val="004459B5"/>
    <w:rsid w:val="00453D65"/>
    <w:rsid w:val="00454F5C"/>
    <w:rsid w:val="004628BB"/>
    <w:rsid w:val="00465675"/>
    <w:rsid w:val="004668D8"/>
    <w:rsid w:val="00466E48"/>
    <w:rsid w:val="00467DDA"/>
    <w:rsid w:val="00467FB3"/>
    <w:rsid w:val="0047029C"/>
    <w:rsid w:val="00470C0A"/>
    <w:rsid w:val="004749AE"/>
    <w:rsid w:val="004758B3"/>
    <w:rsid w:val="0048334A"/>
    <w:rsid w:val="004902FE"/>
    <w:rsid w:val="004926DB"/>
    <w:rsid w:val="004928EC"/>
    <w:rsid w:val="004977A3"/>
    <w:rsid w:val="004A003C"/>
    <w:rsid w:val="004A4490"/>
    <w:rsid w:val="004A51B7"/>
    <w:rsid w:val="004C04CA"/>
    <w:rsid w:val="004C635F"/>
    <w:rsid w:val="004C6639"/>
    <w:rsid w:val="004D115C"/>
    <w:rsid w:val="004D3084"/>
    <w:rsid w:val="004D4D03"/>
    <w:rsid w:val="004D66D9"/>
    <w:rsid w:val="004D6BFA"/>
    <w:rsid w:val="004D7C5C"/>
    <w:rsid w:val="004E01D3"/>
    <w:rsid w:val="004E0387"/>
    <w:rsid w:val="004E27E0"/>
    <w:rsid w:val="004E2974"/>
    <w:rsid w:val="004E4CEA"/>
    <w:rsid w:val="004F52A2"/>
    <w:rsid w:val="004F7517"/>
    <w:rsid w:val="005001EC"/>
    <w:rsid w:val="00500597"/>
    <w:rsid w:val="0050081C"/>
    <w:rsid w:val="00501ABC"/>
    <w:rsid w:val="00512972"/>
    <w:rsid w:val="00513291"/>
    <w:rsid w:val="00515E71"/>
    <w:rsid w:val="005206ED"/>
    <w:rsid w:val="005213D3"/>
    <w:rsid w:val="00523AA9"/>
    <w:rsid w:val="005258C1"/>
    <w:rsid w:val="00525906"/>
    <w:rsid w:val="0052624B"/>
    <w:rsid w:val="00530B60"/>
    <w:rsid w:val="00532AE9"/>
    <w:rsid w:val="00536BB1"/>
    <w:rsid w:val="00546141"/>
    <w:rsid w:val="0055002A"/>
    <w:rsid w:val="00552FD4"/>
    <w:rsid w:val="00553642"/>
    <w:rsid w:val="005553C1"/>
    <w:rsid w:val="00555DC3"/>
    <w:rsid w:val="00561AFD"/>
    <w:rsid w:val="00563F22"/>
    <w:rsid w:val="00565901"/>
    <w:rsid w:val="0056723E"/>
    <w:rsid w:val="00575E6B"/>
    <w:rsid w:val="0057670A"/>
    <w:rsid w:val="00582B2A"/>
    <w:rsid w:val="00586897"/>
    <w:rsid w:val="00591D47"/>
    <w:rsid w:val="00592B3C"/>
    <w:rsid w:val="00592F3D"/>
    <w:rsid w:val="00594FFE"/>
    <w:rsid w:val="005A22F6"/>
    <w:rsid w:val="005A3ADE"/>
    <w:rsid w:val="005A560D"/>
    <w:rsid w:val="005B09DA"/>
    <w:rsid w:val="005B3A90"/>
    <w:rsid w:val="005B3C34"/>
    <w:rsid w:val="005B40E7"/>
    <w:rsid w:val="005B63BD"/>
    <w:rsid w:val="005B6DD5"/>
    <w:rsid w:val="005B7020"/>
    <w:rsid w:val="005B7641"/>
    <w:rsid w:val="005C3860"/>
    <w:rsid w:val="005C67E3"/>
    <w:rsid w:val="005D1D9A"/>
    <w:rsid w:val="005D4C1D"/>
    <w:rsid w:val="005D5111"/>
    <w:rsid w:val="005D60F8"/>
    <w:rsid w:val="005E5F38"/>
    <w:rsid w:val="005E6C67"/>
    <w:rsid w:val="005E7014"/>
    <w:rsid w:val="005E719C"/>
    <w:rsid w:val="005F2471"/>
    <w:rsid w:val="005F79BA"/>
    <w:rsid w:val="005F7D6B"/>
    <w:rsid w:val="006014A0"/>
    <w:rsid w:val="0060496A"/>
    <w:rsid w:val="00604D0C"/>
    <w:rsid w:val="00604F56"/>
    <w:rsid w:val="00613A8E"/>
    <w:rsid w:val="00614675"/>
    <w:rsid w:val="00627868"/>
    <w:rsid w:val="00632DFA"/>
    <w:rsid w:val="00635B00"/>
    <w:rsid w:val="0063639C"/>
    <w:rsid w:val="00636CA2"/>
    <w:rsid w:val="00643057"/>
    <w:rsid w:val="00643692"/>
    <w:rsid w:val="00643A9A"/>
    <w:rsid w:val="00643F1D"/>
    <w:rsid w:val="00644257"/>
    <w:rsid w:val="006564F3"/>
    <w:rsid w:val="006629D2"/>
    <w:rsid w:val="00663A8E"/>
    <w:rsid w:val="00666470"/>
    <w:rsid w:val="006667D5"/>
    <w:rsid w:val="00670088"/>
    <w:rsid w:val="00671E41"/>
    <w:rsid w:val="00680CD5"/>
    <w:rsid w:val="00685EB1"/>
    <w:rsid w:val="006923C1"/>
    <w:rsid w:val="00693C9F"/>
    <w:rsid w:val="006948F4"/>
    <w:rsid w:val="006A1F8C"/>
    <w:rsid w:val="006A4C35"/>
    <w:rsid w:val="006A533A"/>
    <w:rsid w:val="006A62E2"/>
    <w:rsid w:val="006A72BA"/>
    <w:rsid w:val="006B1D6F"/>
    <w:rsid w:val="006B562A"/>
    <w:rsid w:val="006B5665"/>
    <w:rsid w:val="006C04A5"/>
    <w:rsid w:val="006C24A9"/>
    <w:rsid w:val="006D155D"/>
    <w:rsid w:val="006D29B1"/>
    <w:rsid w:val="006D2E4C"/>
    <w:rsid w:val="006D540A"/>
    <w:rsid w:val="006E0C6B"/>
    <w:rsid w:val="006E2A9B"/>
    <w:rsid w:val="006E3517"/>
    <w:rsid w:val="006E3FA5"/>
    <w:rsid w:val="006E419A"/>
    <w:rsid w:val="006E54D6"/>
    <w:rsid w:val="006E6FC3"/>
    <w:rsid w:val="006F5E8E"/>
    <w:rsid w:val="006F6216"/>
    <w:rsid w:val="006F6EF4"/>
    <w:rsid w:val="007017F8"/>
    <w:rsid w:val="00705A67"/>
    <w:rsid w:val="00711516"/>
    <w:rsid w:val="007137E9"/>
    <w:rsid w:val="0072235E"/>
    <w:rsid w:val="00722F13"/>
    <w:rsid w:val="00735559"/>
    <w:rsid w:val="00735ECC"/>
    <w:rsid w:val="007364D7"/>
    <w:rsid w:val="007449B9"/>
    <w:rsid w:val="007459A9"/>
    <w:rsid w:val="0075049E"/>
    <w:rsid w:val="00754FCB"/>
    <w:rsid w:val="00755AC9"/>
    <w:rsid w:val="0076007F"/>
    <w:rsid w:val="00772363"/>
    <w:rsid w:val="00780CC2"/>
    <w:rsid w:val="00781DD7"/>
    <w:rsid w:val="00782360"/>
    <w:rsid w:val="0078331F"/>
    <w:rsid w:val="00796F9D"/>
    <w:rsid w:val="007977C0"/>
    <w:rsid w:val="007A137A"/>
    <w:rsid w:val="007B0D3D"/>
    <w:rsid w:val="007B0D47"/>
    <w:rsid w:val="007B2049"/>
    <w:rsid w:val="007B3F9B"/>
    <w:rsid w:val="007B5ACC"/>
    <w:rsid w:val="007B60DF"/>
    <w:rsid w:val="007B7145"/>
    <w:rsid w:val="007C49FD"/>
    <w:rsid w:val="007C4C65"/>
    <w:rsid w:val="007D5FB5"/>
    <w:rsid w:val="007D78A3"/>
    <w:rsid w:val="007E1734"/>
    <w:rsid w:val="007E4DC2"/>
    <w:rsid w:val="007F0D16"/>
    <w:rsid w:val="007F2070"/>
    <w:rsid w:val="007F3D92"/>
    <w:rsid w:val="007F4201"/>
    <w:rsid w:val="007F42C4"/>
    <w:rsid w:val="007F5A1E"/>
    <w:rsid w:val="007F6DA4"/>
    <w:rsid w:val="00801050"/>
    <w:rsid w:val="00806A9F"/>
    <w:rsid w:val="00811F04"/>
    <w:rsid w:val="00814E1B"/>
    <w:rsid w:val="00820ADE"/>
    <w:rsid w:val="00822A0F"/>
    <w:rsid w:val="00822EFF"/>
    <w:rsid w:val="008254E6"/>
    <w:rsid w:val="00825A49"/>
    <w:rsid w:val="00825AAF"/>
    <w:rsid w:val="00853BFC"/>
    <w:rsid w:val="008546BE"/>
    <w:rsid w:val="008550FE"/>
    <w:rsid w:val="00857791"/>
    <w:rsid w:val="00857A6F"/>
    <w:rsid w:val="008618F2"/>
    <w:rsid w:val="0086627F"/>
    <w:rsid w:val="0087034C"/>
    <w:rsid w:val="00872A39"/>
    <w:rsid w:val="008742A8"/>
    <w:rsid w:val="008772D3"/>
    <w:rsid w:val="00880310"/>
    <w:rsid w:val="008809E8"/>
    <w:rsid w:val="008844E4"/>
    <w:rsid w:val="00884669"/>
    <w:rsid w:val="008879DB"/>
    <w:rsid w:val="00893E18"/>
    <w:rsid w:val="00894B3B"/>
    <w:rsid w:val="00894F9E"/>
    <w:rsid w:val="008A3D91"/>
    <w:rsid w:val="008A5640"/>
    <w:rsid w:val="008A5AAF"/>
    <w:rsid w:val="008A7B2D"/>
    <w:rsid w:val="008B0B2F"/>
    <w:rsid w:val="008B6960"/>
    <w:rsid w:val="008B74DD"/>
    <w:rsid w:val="008B7F03"/>
    <w:rsid w:val="008C7C42"/>
    <w:rsid w:val="008D4F35"/>
    <w:rsid w:val="008D6187"/>
    <w:rsid w:val="008D6B59"/>
    <w:rsid w:val="008E386B"/>
    <w:rsid w:val="008E533B"/>
    <w:rsid w:val="008F2CBF"/>
    <w:rsid w:val="008F418D"/>
    <w:rsid w:val="008F484B"/>
    <w:rsid w:val="00907178"/>
    <w:rsid w:val="0090753A"/>
    <w:rsid w:val="00911337"/>
    <w:rsid w:val="0091133F"/>
    <w:rsid w:val="0091216A"/>
    <w:rsid w:val="00912D3F"/>
    <w:rsid w:val="00920509"/>
    <w:rsid w:val="00925D09"/>
    <w:rsid w:val="00926344"/>
    <w:rsid w:val="00934A78"/>
    <w:rsid w:val="00936ED7"/>
    <w:rsid w:val="00941457"/>
    <w:rsid w:val="00946A86"/>
    <w:rsid w:val="00946B56"/>
    <w:rsid w:val="00950644"/>
    <w:rsid w:val="0095127E"/>
    <w:rsid w:val="009550A1"/>
    <w:rsid w:val="00957C55"/>
    <w:rsid w:val="00960A96"/>
    <w:rsid w:val="00961A1D"/>
    <w:rsid w:val="00963076"/>
    <w:rsid w:val="00963240"/>
    <w:rsid w:val="009654B6"/>
    <w:rsid w:val="00965645"/>
    <w:rsid w:val="00972F50"/>
    <w:rsid w:val="00975513"/>
    <w:rsid w:val="00987C4B"/>
    <w:rsid w:val="009944AC"/>
    <w:rsid w:val="00995437"/>
    <w:rsid w:val="009A10EE"/>
    <w:rsid w:val="009A1226"/>
    <w:rsid w:val="009A2A31"/>
    <w:rsid w:val="009A7E60"/>
    <w:rsid w:val="009A7ECB"/>
    <w:rsid w:val="009B0E8A"/>
    <w:rsid w:val="009B1256"/>
    <w:rsid w:val="009C289F"/>
    <w:rsid w:val="009C43B8"/>
    <w:rsid w:val="009C471A"/>
    <w:rsid w:val="009C71C0"/>
    <w:rsid w:val="009D002D"/>
    <w:rsid w:val="009D3BEF"/>
    <w:rsid w:val="009D75FA"/>
    <w:rsid w:val="009E1C25"/>
    <w:rsid w:val="009E2DB2"/>
    <w:rsid w:val="009E3206"/>
    <w:rsid w:val="009F174D"/>
    <w:rsid w:val="009F4903"/>
    <w:rsid w:val="009F566D"/>
    <w:rsid w:val="009F626B"/>
    <w:rsid w:val="009F6A28"/>
    <w:rsid w:val="00A00B52"/>
    <w:rsid w:val="00A04AC3"/>
    <w:rsid w:val="00A10C19"/>
    <w:rsid w:val="00A115E9"/>
    <w:rsid w:val="00A11E69"/>
    <w:rsid w:val="00A125F0"/>
    <w:rsid w:val="00A134B2"/>
    <w:rsid w:val="00A13EDD"/>
    <w:rsid w:val="00A22AC3"/>
    <w:rsid w:val="00A274C0"/>
    <w:rsid w:val="00A37C0E"/>
    <w:rsid w:val="00A421CB"/>
    <w:rsid w:val="00A42A02"/>
    <w:rsid w:val="00A43149"/>
    <w:rsid w:val="00A4322A"/>
    <w:rsid w:val="00A4390C"/>
    <w:rsid w:val="00A43BDE"/>
    <w:rsid w:val="00A45119"/>
    <w:rsid w:val="00A516F2"/>
    <w:rsid w:val="00A5352A"/>
    <w:rsid w:val="00A5777C"/>
    <w:rsid w:val="00A63448"/>
    <w:rsid w:val="00A64488"/>
    <w:rsid w:val="00A70A26"/>
    <w:rsid w:val="00A70B23"/>
    <w:rsid w:val="00A7608A"/>
    <w:rsid w:val="00A820DC"/>
    <w:rsid w:val="00A840B3"/>
    <w:rsid w:val="00A84D82"/>
    <w:rsid w:val="00A86F40"/>
    <w:rsid w:val="00A87E49"/>
    <w:rsid w:val="00A91836"/>
    <w:rsid w:val="00AA1CB5"/>
    <w:rsid w:val="00AA2EF7"/>
    <w:rsid w:val="00AA3D82"/>
    <w:rsid w:val="00AA3EAC"/>
    <w:rsid w:val="00AA4315"/>
    <w:rsid w:val="00AA46D1"/>
    <w:rsid w:val="00AC0F4C"/>
    <w:rsid w:val="00AC241B"/>
    <w:rsid w:val="00AC7C3E"/>
    <w:rsid w:val="00AD414F"/>
    <w:rsid w:val="00AE022A"/>
    <w:rsid w:val="00AE1C1D"/>
    <w:rsid w:val="00AE50B8"/>
    <w:rsid w:val="00AF2F98"/>
    <w:rsid w:val="00AF2FB4"/>
    <w:rsid w:val="00AF564A"/>
    <w:rsid w:val="00AF57CC"/>
    <w:rsid w:val="00B01144"/>
    <w:rsid w:val="00B11C62"/>
    <w:rsid w:val="00B1529E"/>
    <w:rsid w:val="00B15BD5"/>
    <w:rsid w:val="00B171C7"/>
    <w:rsid w:val="00B20E48"/>
    <w:rsid w:val="00B2506F"/>
    <w:rsid w:val="00B276D6"/>
    <w:rsid w:val="00B30370"/>
    <w:rsid w:val="00B314B2"/>
    <w:rsid w:val="00B32854"/>
    <w:rsid w:val="00B40454"/>
    <w:rsid w:val="00B46F3B"/>
    <w:rsid w:val="00B50D4A"/>
    <w:rsid w:val="00B52E7D"/>
    <w:rsid w:val="00B556F8"/>
    <w:rsid w:val="00B60D86"/>
    <w:rsid w:val="00B615D8"/>
    <w:rsid w:val="00B61CA0"/>
    <w:rsid w:val="00B63399"/>
    <w:rsid w:val="00B7291D"/>
    <w:rsid w:val="00B74ABB"/>
    <w:rsid w:val="00B77887"/>
    <w:rsid w:val="00B83C41"/>
    <w:rsid w:val="00B84005"/>
    <w:rsid w:val="00B841A4"/>
    <w:rsid w:val="00B84318"/>
    <w:rsid w:val="00B865D4"/>
    <w:rsid w:val="00B90D85"/>
    <w:rsid w:val="00BA78C2"/>
    <w:rsid w:val="00BB5CDA"/>
    <w:rsid w:val="00BC1BE5"/>
    <w:rsid w:val="00BC1FB4"/>
    <w:rsid w:val="00BD03D7"/>
    <w:rsid w:val="00BD1311"/>
    <w:rsid w:val="00BD1B10"/>
    <w:rsid w:val="00BD2914"/>
    <w:rsid w:val="00BD497C"/>
    <w:rsid w:val="00BD7327"/>
    <w:rsid w:val="00BE1804"/>
    <w:rsid w:val="00BE3FA6"/>
    <w:rsid w:val="00BE42CC"/>
    <w:rsid w:val="00BE654A"/>
    <w:rsid w:val="00BE65DA"/>
    <w:rsid w:val="00BF1E28"/>
    <w:rsid w:val="00BF24C7"/>
    <w:rsid w:val="00BF4BB6"/>
    <w:rsid w:val="00BF6320"/>
    <w:rsid w:val="00BF738C"/>
    <w:rsid w:val="00C00DBB"/>
    <w:rsid w:val="00C017AD"/>
    <w:rsid w:val="00C02D66"/>
    <w:rsid w:val="00C12913"/>
    <w:rsid w:val="00C22775"/>
    <w:rsid w:val="00C2414E"/>
    <w:rsid w:val="00C25B59"/>
    <w:rsid w:val="00C35FB0"/>
    <w:rsid w:val="00C40171"/>
    <w:rsid w:val="00C408B4"/>
    <w:rsid w:val="00C44325"/>
    <w:rsid w:val="00C44ECD"/>
    <w:rsid w:val="00C611F3"/>
    <w:rsid w:val="00C649F8"/>
    <w:rsid w:val="00C76476"/>
    <w:rsid w:val="00C82BA2"/>
    <w:rsid w:val="00C84487"/>
    <w:rsid w:val="00C84D7A"/>
    <w:rsid w:val="00C86606"/>
    <w:rsid w:val="00C908DF"/>
    <w:rsid w:val="00C92049"/>
    <w:rsid w:val="00C92447"/>
    <w:rsid w:val="00C93F6C"/>
    <w:rsid w:val="00C94118"/>
    <w:rsid w:val="00C96A67"/>
    <w:rsid w:val="00CA142C"/>
    <w:rsid w:val="00CA184B"/>
    <w:rsid w:val="00CA27DF"/>
    <w:rsid w:val="00CA3EDC"/>
    <w:rsid w:val="00CA4E41"/>
    <w:rsid w:val="00CB1B5F"/>
    <w:rsid w:val="00CB36A9"/>
    <w:rsid w:val="00CB4AE3"/>
    <w:rsid w:val="00CB73EC"/>
    <w:rsid w:val="00CC3D83"/>
    <w:rsid w:val="00CC7EFB"/>
    <w:rsid w:val="00CD3D6B"/>
    <w:rsid w:val="00CD7D09"/>
    <w:rsid w:val="00CE2FCD"/>
    <w:rsid w:val="00CE5536"/>
    <w:rsid w:val="00CE7142"/>
    <w:rsid w:val="00CF1760"/>
    <w:rsid w:val="00CF24C8"/>
    <w:rsid w:val="00CF3F3E"/>
    <w:rsid w:val="00CF4F36"/>
    <w:rsid w:val="00D0132B"/>
    <w:rsid w:val="00D02E0F"/>
    <w:rsid w:val="00D0558B"/>
    <w:rsid w:val="00D057D0"/>
    <w:rsid w:val="00D064F1"/>
    <w:rsid w:val="00D12099"/>
    <w:rsid w:val="00D12706"/>
    <w:rsid w:val="00D133B5"/>
    <w:rsid w:val="00D14408"/>
    <w:rsid w:val="00D14710"/>
    <w:rsid w:val="00D22F2C"/>
    <w:rsid w:val="00D232FB"/>
    <w:rsid w:val="00D24290"/>
    <w:rsid w:val="00D24B1E"/>
    <w:rsid w:val="00D270AB"/>
    <w:rsid w:val="00D30A78"/>
    <w:rsid w:val="00D44126"/>
    <w:rsid w:val="00D44623"/>
    <w:rsid w:val="00D45D46"/>
    <w:rsid w:val="00D45F29"/>
    <w:rsid w:val="00D51EB7"/>
    <w:rsid w:val="00D542C5"/>
    <w:rsid w:val="00D61FF9"/>
    <w:rsid w:val="00D64D72"/>
    <w:rsid w:val="00D66EEE"/>
    <w:rsid w:val="00D6750F"/>
    <w:rsid w:val="00D723F2"/>
    <w:rsid w:val="00D724D3"/>
    <w:rsid w:val="00D72866"/>
    <w:rsid w:val="00D749E7"/>
    <w:rsid w:val="00D75C28"/>
    <w:rsid w:val="00D807C5"/>
    <w:rsid w:val="00D856A0"/>
    <w:rsid w:val="00D86523"/>
    <w:rsid w:val="00D87202"/>
    <w:rsid w:val="00D94FEF"/>
    <w:rsid w:val="00DA3F0F"/>
    <w:rsid w:val="00DA75CC"/>
    <w:rsid w:val="00DC2F4A"/>
    <w:rsid w:val="00DC78A8"/>
    <w:rsid w:val="00DD0BB8"/>
    <w:rsid w:val="00DD1F4D"/>
    <w:rsid w:val="00DD26CF"/>
    <w:rsid w:val="00DD402A"/>
    <w:rsid w:val="00DD647F"/>
    <w:rsid w:val="00DD6627"/>
    <w:rsid w:val="00DE16E0"/>
    <w:rsid w:val="00DF1333"/>
    <w:rsid w:val="00E017EF"/>
    <w:rsid w:val="00E05885"/>
    <w:rsid w:val="00E07541"/>
    <w:rsid w:val="00E12902"/>
    <w:rsid w:val="00E14B9B"/>
    <w:rsid w:val="00E15AD6"/>
    <w:rsid w:val="00E16DB3"/>
    <w:rsid w:val="00E2127D"/>
    <w:rsid w:val="00E23A9A"/>
    <w:rsid w:val="00E3143D"/>
    <w:rsid w:val="00E31F0A"/>
    <w:rsid w:val="00E35C69"/>
    <w:rsid w:val="00E40537"/>
    <w:rsid w:val="00E40553"/>
    <w:rsid w:val="00E4130C"/>
    <w:rsid w:val="00E4168E"/>
    <w:rsid w:val="00E43075"/>
    <w:rsid w:val="00E4450D"/>
    <w:rsid w:val="00E46989"/>
    <w:rsid w:val="00E50216"/>
    <w:rsid w:val="00E50A29"/>
    <w:rsid w:val="00E51C55"/>
    <w:rsid w:val="00E53B4F"/>
    <w:rsid w:val="00E54040"/>
    <w:rsid w:val="00E55CDE"/>
    <w:rsid w:val="00E55D0A"/>
    <w:rsid w:val="00E57BEF"/>
    <w:rsid w:val="00E61673"/>
    <w:rsid w:val="00E650A3"/>
    <w:rsid w:val="00E66AE8"/>
    <w:rsid w:val="00E710CD"/>
    <w:rsid w:val="00E71E3D"/>
    <w:rsid w:val="00E72AB8"/>
    <w:rsid w:val="00E740FE"/>
    <w:rsid w:val="00E87FAF"/>
    <w:rsid w:val="00E95FB9"/>
    <w:rsid w:val="00EA541F"/>
    <w:rsid w:val="00EB01F0"/>
    <w:rsid w:val="00EB3274"/>
    <w:rsid w:val="00EB7F4C"/>
    <w:rsid w:val="00EC7FE6"/>
    <w:rsid w:val="00ED013D"/>
    <w:rsid w:val="00EE1F8F"/>
    <w:rsid w:val="00EE1FE0"/>
    <w:rsid w:val="00EE3651"/>
    <w:rsid w:val="00EE4258"/>
    <w:rsid w:val="00EE4507"/>
    <w:rsid w:val="00EE5190"/>
    <w:rsid w:val="00EE73FC"/>
    <w:rsid w:val="00EE7F94"/>
    <w:rsid w:val="00EF0679"/>
    <w:rsid w:val="00EF0DC6"/>
    <w:rsid w:val="00EF4389"/>
    <w:rsid w:val="00EF5357"/>
    <w:rsid w:val="00F00BD2"/>
    <w:rsid w:val="00F06E4F"/>
    <w:rsid w:val="00F0700A"/>
    <w:rsid w:val="00F211DD"/>
    <w:rsid w:val="00F22247"/>
    <w:rsid w:val="00F23159"/>
    <w:rsid w:val="00F32451"/>
    <w:rsid w:val="00F35552"/>
    <w:rsid w:val="00F3555C"/>
    <w:rsid w:val="00F36EE6"/>
    <w:rsid w:val="00F4215A"/>
    <w:rsid w:val="00F45376"/>
    <w:rsid w:val="00F45CF2"/>
    <w:rsid w:val="00F46978"/>
    <w:rsid w:val="00F500E0"/>
    <w:rsid w:val="00F608C9"/>
    <w:rsid w:val="00F61B9A"/>
    <w:rsid w:val="00F622C0"/>
    <w:rsid w:val="00F70BA6"/>
    <w:rsid w:val="00F73DAF"/>
    <w:rsid w:val="00F753F2"/>
    <w:rsid w:val="00F7785B"/>
    <w:rsid w:val="00F82281"/>
    <w:rsid w:val="00F85EFF"/>
    <w:rsid w:val="00F8727A"/>
    <w:rsid w:val="00FA59D1"/>
    <w:rsid w:val="00FA6197"/>
    <w:rsid w:val="00FA735C"/>
    <w:rsid w:val="00FA789F"/>
    <w:rsid w:val="00FB492A"/>
    <w:rsid w:val="00FB50F3"/>
    <w:rsid w:val="00FB7655"/>
    <w:rsid w:val="00FC1B50"/>
    <w:rsid w:val="00FC1EBA"/>
    <w:rsid w:val="00FC40CD"/>
    <w:rsid w:val="00FC6D4D"/>
    <w:rsid w:val="00FC7308"/>
    <w:rsid w:val="00FD09A4"/>
    <w:rsid w:val="00FD1599"/>
    <w:rsid w:val="00FD7138"/>
    <w:rsid w:val="00FE0704"/>
    <w:rsid w:val="00FE1704"/>
    <w:rsid w:val="00FF0154"/>
    <w:rsid w:val="00FF02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ddd,silver,#eaeaea"/>
    </o:shapedefaults>
    <o:shapelayout v:ext="edit">
      <o:idmap v:ext="edit" data="1"/>
    </o:shapelayout>
  </w:shapeDefaults>
  <w:decimalSymbol w:val="."/>
  <w:listSeparator w:val=","/>
  <w14:docId w14:val="0B7EA9CE"/>
  <w15:docId w15:val="{2E900DA7-30C0-475A-ADA4-15B8CB89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4" w:uiPriority="3" w:qFormat="1"/>
    <w:lsdException w:name="heading 5" w:semiHidden="1" w:uiPriority="1"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7" w:unhideWhenUsed="1"/>
    <w:lsdException w:name="toc 2" w:semiHidden="1" w:uiPriority="7"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7" w:unhideWhenUsed="1"/>
    <w:lsdException w:name="annotation text" w:semiHidden="1" w:unhideWhenUsed="1"/>
    <w:lsdException w:name="header" w:semiHidden="1" w:uiPriority="7" w:unhideWhenUsed="1"/>
    <w:lsdException w:name="footer" w:semiHidden="1" w:uiPriority="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D4D"/>
    <w:pPr>
      <w:spacing w:line="220" w:lineRule="exact"/>
    </w:pPr>
    <w:rPr>
      <w:sz w:val="22"/>
      <w:lang w:eastAsia="en-US"/>
    </w:rPr>
  </w:style>
  <w:style w:type="paragraph" w:styleId="Heading1">
    <w:name w:val="heading 1"/>
    <w:basedOn w:val="Normal"/>
    <w:next w:val="Normal"/>
    <w:link w:val="Heading1Char"/>
    <w:semiHidden/>
    <w:rsid w:val="00946A86"/>
    <w:pPr>
      <w:keepNext/>
      <w:spacing w:after="320" w:line="320" w:lineRule="exact"/>
      <w:jc w:val="center"/>
      <w:outlineLvl w:val="0"/>
    </w:pPr>
    <w:rPr>
      <w:rFonts w:cs="Arial"/>
      <w:bCs/>
      <w:caps/>
      <w:sz w:val="32"/>
      <w:szCs w:val="32"/>
    </w:rPr>
  </w:style>
  <w:style w:type="paragraph" w:styleId="Heading2">
    <w:name w:val="heading 2"/>
    <w:basedOn w:val="Normal"/>
    <w:next w:val="Normal"/>
    <w:semiHidden/>
    <w:rsid w:val="00946A86"/>
    <w:pPr>
      <w:keepNext/>
      <w:spacing w:after="280" w:line="280" w:lineRule="exact"/>
      <w:jc w:val="center"/>
      <w:outlineLvl w:val="1"/>
    </w:pPr>
    <w:rPr>
      <w:b/>
      <w:bCs/>
      <w:iCs/>
      <w:caps/>
      <w:sz w:val="28"/>
      <w:szCs w:val="28"/>
    </w:rPr>
  </w:style>
  <w:style w:type="paragraph" w:styleId="Heading3">
    <w:name w:val="heading 3"/>
    <w:basedOn w:val="Heading2"/>
    <w:next w:val="Normal"/>
    <w:semiHidden/>
    <w:rsid w:val="00946A86"/>
    <w:pPr>
      <w:outlineLvl w:val="2"/>
    </w:pPr>
    <w:rPr>
      <w:bCs w:val="0"/>
      <w:i/>
      <w:caps w:val="0"/>
      <w:szCs w:val="26"/>
    </w:rPr>
  </w:style>
  <w:style w:type="paragraph" w:styleId="Heading4">
    <w:name w:val="heading 4"/>
    <w:basedOn w:val="Normal"/>
    <w:next w:val="ParaPlain"/>
    <w:uiPriority w:val="3"/>
    <w:qFormat/>
    <w:rsid w:val="00FC6D4D"/>
    <w:pPr>
      <w:keepNext/>
      <w:spacing w:after="200" w:line="300" w:lineRule="exact"/>
      <w:outlineLvl w:val="3"/>
    </w:pPr>
    <w:rPr>
      <w:b/>
      <w:bCs/>
      <w:sz w:val="30"/>
      <w:szCs w:val="28"/>
    </w:rPr>
  </w:style>
  <w:style w:type="paragraph" w:styleId="Heading5">
    <w:name w:val="heading 5"/>
    <w:basedOn w:val="Normal"/>
    <w:next w:val="ParaLevel1"/>
    <w:link w:val="Heading5Char"/>
    <w:uiPriority w:val="1"/>
    <w:qFormat/>
    <w:rsid w:val="00FC6D4D"/>
    <w:pPr>
      <w:keepNext/>
      <w:spacing w:after="200" w:line="260" w:lineRule="exact"/>
      <w:outlineLvl w:val="4"/>
    </w:pPr>
    <w:rPr>
      <w:b/>
      <w:bCs/>
      <w:iCs/>
      <w:sz w:val="26"/>
      <w:szCs w:val="26"/>
    </w:rPr>
  </w:style>
  <w:style w:type="paragraph" w:styleId="Heading6">
    <w:name w:val="heading 6"/>
    <w:basedOn w:val="Heading5"/>
    <w:next w:val="ParaLevel1"/>
    <w:uiPriority w:val="3"/>
    <w:qFormat/>
    <w:rsid w:val="00FC6D4D"/>
    <w:pPr>
      <w:spacing w:line="220" w:lineRule="exact"/>
      <w:outlineLvl w:val="5"/>
    </w:pPr>
    <w:rPr>
      <w:bCs w:val="0"/>
      <w:sz w:val="22"/>
      <w:szCs w:val="22"/>
    </w:rPr>
  </w:style>
  <w:style w:type="paragraph" w:styleId="Heading7">
    <w:name w:val="heading 7"/>
    <w:basedOn w:val="Heading6"/>
    <w:next w:val="ParaLevel1"/>
    <w:uiPriority w:val="3"/>
    <w:qFormat/>
    <w:rsid w:val="00946A86"/>
    <w:pPr>
      <w:outlineLvl w:val="6"/>
    </w:pPr>
    <w:rPr>
      <w:b w:val="0"/>
      <w:i/>
      <w:szCs w:val="24"/>
    </w:rPr>
  </w:style>
  <w:style w:type="paragraph" w:styleId="Heading8">
    <w:name w:val="heading 8"/>
    <w:basedOn w:val="Heading6"/>
    <w:next w:val="ParaLevel1"/>
    <w:link w:val="Heading8Char"/>
    <w:uiPriority w:val="3"/>
    <w:qFormat/>
    <w:rsid w:val="00946A86"/>
    <w:pPr>
      <w:outlineLvl w:val="7"/>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946A86"/>
    <w:pPr>
      <w:spacing w:after="200"/>
    </w:pPr>
  </w:style>
  <w:style w:type="character" w:customStyle="1" w:styleId="ParaPlainChar">
    <w:name w:val="ParaPlain Char"/>
    <w:basedOn w:val="DefaultParagraphFont"/>
    <w:link w:val="ParaPlain"/>
    <w:rsid w:val="00946A86"/>
    <w:rPr>
      <w:lang w:eastAsia="en-US"/>
    </w:rPr>
  </w:style>
  <w:style w:type="character" w:customStyle="1" w:styleId="Heading8Char">
    <w:name w:val="Heading 8 Char"/>
    <w:basedOn w:val="DefaultParagraphFont"/>
    <w:link w:val="Heading8"/>
    <w:uiPriority w:val="3"/>
    <w:rsid w:val="00946A86"/>
    <w:rPr>
      <w:iCs/>
      <w:szCs w:val="22"/>
      <w:lang w:eastAsia="en-US"/>
    </w:rPr>
  </w:style>
  <w:style w:type="paragraph" w:styleId="FootnoteText">
    <w:name w:val="footnote text"/>
    <w:aliases w:val="Footnote Text Char2 Char,Footnote Text Char1 Char Char,Footnote Text Char Char Char Char,ARM footnote Text Char Char Char,Footnote Text Char Char1 Char,ARM footnote Text Char1 Char,Footnote Text Char Char,Footnote New,ARM footnote Text"/>
    <w:basedOn w:val="Normal"/>
    <w:link w:val="FootnoteTextChar"/>
    <w:uiPriority w:val="7"/>
    <w:rsid w:val="00EE4258"/>
    <w:pPr>
      <w:keepLines/>
      <w:spacing w:line="160" w:lineRule="exact"/>
      <w:ind w:left="284" w:hanging="284"/>
    </w:pPr>
    <w:rPr>
      <w:sz w:val="16"/>
    </w:rPr>
  </w:style>
  <w:style w:type="paragraph" w:customStyle="1" w:styleId="ListBullet">
    <w:name w:val="ListBullet"/>
    <w:basedOn w:val="ParaPlain"/>
    <w:link w:val="ListBulletChar"/>
    <w:uiPriority w:val="3"/>
    <w:qFormat/>
    <w:rsid w:val="00946A86"/>
    <w:pPr>
      <w:numPr>
        <w:numId w:val="1"/>
      </w:numPr>
      <w:outlineLvl w:val="0"/>
    </w:pPr>
  </w:style>
  <w:style w:type="paragraph" w:customStyle="1" w:styleId="ParaLevel1">
    <w:name w:val="ParaLevel1"/>
    <w:basedOn w:val="ParaPlain"/>
    <w:uiPriority w:val="1"/>
    <w:qFormat/>
    <w:rsid w:val="00946A86"/>
    <w:pPr>
      <w:numPr>
        <w:numId w:val="3"/>
      </w:numPr>
    </w:pPr>
  </w:style>
  <w:style w:type="paragraph" w:customStyle="1" w:styleId="ParaLevel2">
    <w:name w:val="ParaLevel2"/>
    <w:basedOn w:val="ParaPlain"/>
    <w:uiPriority w:val="1"/>
    <w:qFormat/>
    <w:rsid w:val="00946A86"/>
    <w:pPr>
      <w:numPr>
        <w:ilvl w:val="1"/>
        <w:numId w:val="3"/>
      </w:numPr>
    </w:pPr>
  </w:style>
  <w:style w:type="paragraph" w:customStyle="1" w:styleId="ParaLevel3">
    <w:name w:val="ParaLevel3"/>
    <w:basedOn w:val="ParaPlain"/>
    <w:uiPriority w:val="1"/>
    <w:qFormat/>
    <w:rsid w:val="00946A86"/>
    <w:pPr>
      <w:numPr>
        <w:ilvl w:val="2"/>
        <w:numId w:val="3"/>
      </w:numPr>
    </w:pPr>
  </w:style>
  <w:style w:type="paragraph" w:styleId="Header">
    <w:name w:val="header"/>
    <w:basedOn w:val="Normal"/>
    <w:uiPriority w:val="7"/>
    <w:rsid w:val="00946A86"/>
    <w:pPr>
      <w:pBdr>
        <w:bottom w:val="single" w:sz="4" w:space="1" w:color="auto"/>
      </w:pBdr>
    </w:pPr>
    <w:rPr>
      <w:b/>
    </w:rPr>
  </w:style>
  <w:style w:type="paragraph" w:styleId="Footer">
    <w:name w:val="footer"/>
    <w:basedOn w:val="Normal"/>
    <w:uiPriority w:val="7"/>
    <w:rsid w:val="00FC6D4D"/>
    <w:pPr>
      <w:tabs>
        <w:tab w:val="center" w:pos="4536"/>
        <w:tab w:val="right" w:pos="9072"/>
      </w:tabs>
    </w:pPr>
    <w:rPr>
      <w:b/>
    </w:rPr>
  </w:style>
  <w:style w:type="paragraph" w:customStyle="1" w:styleId="CoverNumber">
    <w:name w:val="Cover Number"/>
    <w:basedOn w:val="Normal"/>
    <w:next w:val="Normal"/>
    <w:uiPriority w:val="7"/>
    <w:rsid w:val="00946A86"/>
    <w:pPr>
      <w:spacing w:line="320" w:lineRule="exact"/>
      <w:jc w:val="right"/>
    </w:pPr>
    <w:rPr>
      <w:b/>
      <w:caps/>
      <w:sz w:val="32"/>
    </w:rPr>
  </w:style>
  <w:style w:type="paragraph" w:customStyle="1" w:styleId="CoverDate">
    <w:name w:val="Cover Date"/>
    <w:basedOn w:val="Normal"/>
    <w:next w:val="Normal"/>
    <w:uiPriority w:val="7"/>
    <w:rsid w:val="00FC6D4D"/>
    <w:pPr>
      <w:spacing w:after="800"/>
      <w:jc w:val="right"/>
    </w:pPr>
    <w:rPr>
      <w:sz w:val="20"/>
    </w:rPr>
  </w:style>
  <w:style w:type="paragraph" w:customStyle="1" w:styleId="CoverTitle">
    <w:name w:val="Cover Title"/>
    <w:basedOn w:val="Normal"/>
    <w:uiPriority w:val="7"/>
    <w:rsid w:val="00946A86"/>
    <w:pPr>
      <w:spacing w:line="500" w:lineRule="exact"/>
      <w:ind w:right="-142"/>
    </w:pPr>
    <w:rPr>
      <w:b/>
      <w:i/>
      <w:sz w:val="50"/>
      <w:szCs w:val="50"/>
    </w:rPr>
  </w:style>
  <w:style w:type="paragraph" w:customStyle="1" w:styleId="CoverSubTitle">
    <w:name w:val="Cover SubTitle"/>
    <w:basedOn w:val="Normal"/>
    <w:uiPriority w:val="7"/>
    <w:rsid w:val="00946A86"/>
    <w:pPr>
      <w:spacing w:before="400"/>
    </w:pPr>
  </w:style>
  <w:style w:type="character" w:styleId="Hyperlink">
    <w:name w:val="Hyperlink"/>
    <w:basedOn w:val="DefaultParagraphFont"/>
    <w:uiPriority w:val="7"/>
    <w:rsid w:val="00946A86"/>
    <w:rPr>
      <w:color w:val="0000FF"/>
      <w:u w:val="single"/>
    </w:rPr>
  </w:style>
  <w:style w:type="character" w:styleId="PageNumber">
    <w:name w:val="page number"/>
    <w:basedOn w:val="DefaultParagraphFont"/>
    <w:uiPriority w:val="7"/>
    <w:rsid w:val="00946A86"/>
  </w:style>
  <w:style w:type="paragraph" w:customStyle="1" w:styleId="AParaLevel1">
    <w:name w:val="AParaLevel1"/>
    <w:basedOn w:val="ParaPlain"/>
    <w:uiPriority w:val="2"/>
    <w:qFormat/>
    <w:rsid w:val="00946A86"/>
    <w:pPr>
      <w:numPr>
        <w:numId w:val="2"/>
      </w:numPr>
      <w:outlineLvl w:val="0"/>
    </w:pPr>
  </w:style>
  <w:style w:type="paragraph" w:customStyle="1" w:styleId="ContentsItem">
    <w:name w:val="ContentsItem"/>
    <w:basedOn w:val="Normal"/>
    <w:semiHidden/>
    <w:rsid w:val="00FC6D4D"/>
    <w:pPr>
      <w:tabs>
        <w:tab w:val="left" w:leader="dot" w:pos="8278"/>
        <w:tab w:val="left" w:pos="9072"/>
      </w:tabs>
      <w:spacing w:before="120"/>
      <w:ind w:left="142" w:right="1134" w:hanging="142"/>
    </w:pPr>
  </w:style>
  <w:style w:type="character" w:styleId="FootnoteReference">
    <w:name w:val="footnote reference"/>
    <w:basedOn w:val="DefaultParagraphFont"/>
    <w:uiPriority w:val="7"/>
    <w:rsid w:val="00F8727A"/>
    <w:rPr>
      <w:sz w:val="22"/>
      <w:vertAlign w:val="superscript"/>
    </w:rPr>
  </w:style>
  <w:style w:type="paragraph" w:customStyle="1" w:styleId="ListBullet2">
    <w:name w:val="ListBullet2"/>
    <w:basedOn w:val="ParaPlain"/>
    <w:uiPriority w:val="3"/>
    <w:qFormat/>
    <w:rsid w:val="00946A86"/>
    <w:pPr>
      <w:numPr>
        <w:ilvl w:val="1"/>
        <w:numId w:val="1"/>
      </w:numPr>
      <w:outlineLvl w:val="1"/>
    </w:pPr>
  </w:style>
  <w:style w:type="paragraph" w:customStyle="1" w:styleId="ListBullet3">
    <w:name w:val="ListBullet3"/>
    <w:basedOn w:val="ParaPlain"/>
    <w:uiPriority w:val="3"/>
    <w:qFormat/>
    <w:rsid w:val="00946A86"/>
    <w:pPr>
      <w:numPr>
        <w:ilvl w:val="2"/>
        <w:numId w:val="1"/>
      </w:numPr>
      <w:outlineLvl w:val="2"/>
    </w:pPr>
  </w:style>
  <w:style w:type="paragraph" w:customStyle="1" w:styleId="ListBullet4">
    <w:name w:val="ListBullet4"/>
    <w:basedOn w:val="ParaPlain"/>
    <w:uiPriority w:val="3"/>
    <w:qFormat/>
    <w:rsid w:val="00946A86"/>
    <w:pPr>
      <w:numPr>
        <w:ilvl w:val="3"/>
        <w:numId w:val="1"/>
      </w:numPr>
      <w:outlineLvl w:val="3"/>
    </w:pPr>
  </w:style>
  <w:style w:type="paragraph" w:customStyle="1" w:styleId="AParaLevel2">
    <w:name w:val="AParaLevel2"/>
    <w:basedOn w:val="ParaPlain"/>
    <w:uiPriority w:val="2"/>
    <w:rsid w:val="00946A86"/>
    <w:pPr>
      <w:numPr>
        <w:ilvl w:val="1"/>
        <w:numId w:val="2"/>
      </w:numPr>
      <w:outlineLvl w:val="1"/>
    </w:pPr>
  </w:style>
  <w:style w:type="paragraph" w:customStyle="1" w:styleId="AParaLevel3">
    <w:name w:val="AParaLevel3"/>
    <w:basedOn w:val="ParaPlain"/>
    <w:uiPriority w:val="2"/>
    <w:rsid w:val="00946A86"/>
    <w:pPr>
      <w:numPr>
        <w:ilvl w:val="2"/>
        <w:numId w:val="2"/>
      </w:numPr>
      <w:outlineLvl w:val="2"/>
    </w:pPr>
  </w:style>
  <w:style w:type="paragraph" w:customStyle="1" w:styleId="AppendixTop">
    <w:name w:val="AppendixTop"/>
    <w:basedOn w:val="Normal"/>
    <w:uiPriority w:val="5"/>
    <w:rsid w:val="00FC6D4D"/>
    <w:pPr>
      <w:spacing w:after="200" w:line="260" w:lineRule="exact"/>
      <w:jc w:val="right"/>
    </w:pPr>
    <w:rPr>
      <w:b/>
      <w:sz w:val="26"/>
    </w:rPr>
  </w:style>
  <w:style w:type="paragraph" w:customStyle="1" w:styleId="AppendixRef">
    <w:name w:val="AppendixRef"/>
    <w:basedOn w:val="AppendixTop"/>
    <w:uiPriority w:val="5"/>
    <w:rsid w:val="00FC6D4D"/>
    <w:rPr>
      <w:b w:val="0"/>
      <w:sz w:val="18"/>
    </w:rPr>
  </w:style>
  <w:style w:type="paragraph" w:customStyle="1" w:styleId="AusParaLevel1">
    <w:name w:val="AusParaLevel1"/>
    <w:basedOn w:val="ParaPlain"/>
    <w:uiPriority w:val="4"/>
    <w:rsid w:val="00946A86"/>
    <w:pPr>
      <w:ind w:left="1418" w:hanging="1418"/>
    </w:pPr>
  </w:style>
  <w:style w:type="paragraph" w:customStyle="1" w:styleId="AusParaLevel2">
    <w:name w:val="AusParaLevel2"/>
    <w:basedOn w:val="AusParaLevel1"/>
    <w:uiPriority w:val="4"/>
    <w:rsid w:val="00946A86"/>
    <w:pPr>
      <w:ind w:left="2127" w:hanging="709"/>
    </w:pPr>
  </w:style>
  <w:style w:type="paragraph" w:customStyle="1" w:styleId="AusParaLevel3">
    <w:name w:val="AusParaLevel3"/>
    <w:basedOn w:val="AusParaLevel2"/>
    <w:uiPriority w:val="4"/>
    <w:rsid w:val="00946A86"/>
    <w:pPr>
      <w:ind w:left="2835"/>
    </w:pPr>
  </w:style>
  <w:style w:type="character" w:customStyle="1" w:styleId="RefParas">
    <w:name w:val="RefParas"/>
    <w:basedOn w:val="DefaultParagraphFont"/>
    <w:uiPriority w:val="4"/>
    <w:rsid w:val="00FC6D4D"/>
    <w:rPr>
      <w:rFonts w:ascii="Times New Roman" w:hAnsi="Times New Roman"/>
      <w:b w:val="0"/>
      <w:i w:val="0"/>
      <w:sz w:val="18"/>
    </w:rPr>
  </w:style>
  <w:style w:type="paragraph" w:styleId="TOC1">
    <w:name w:val="toc 1"/>
    <w:basedOn w:val="Normal"/>
    <w:next w:val="Normal"/>
    <w:autoRedefine/>
    <w:uiPriority w:val="7"/>
    <w:rsid w:val="00FC6D4D"/>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7364D7"/>
    <w:pPr>
      <w:tabs>
        <w:tab w:val="right" w:leader="dot" w:pos="9071"/>
      </w:tabs>
      <w:spacing w:before="120"/>
      <w:ind w:left="142" w:right="1418" w:hanging="142"/>
    </w:pPr>
  </w:style>
  <w:style w:type="numbering" w:customStyle="1" w:styleId="AUASBListBullets">
    <w:name w:val="AUASBListBullets"/>
    <w:uiPriority w:val="99"/>
    <w:rsid w:val="00946A86"/>
    <w:pPr>
      <w:numPr>
        <w:numId w:val="1"/>
      </w:numPr>
    </w:pPr>
  </w:style>
  <w:style w:type="numbering" w:customStyle="1" w:styleId="AUASBAParas">
    <w:name w:val="AUASBAParas"/>
    <w:uiPriority w:val="99"/>
    <w:rsid w:val="00946A86"/>
    <w:pPr>
      <w:numPr>
        <w:numId w:val="2"/>
      </w:numPr>
    </w:pPr>
  </w:style>
  <w:style w:type="numbering" w:customStyle="1" w:styleId="AUASBParaLevels">
    <w:name w:val="AUASBParaLevels"/>
    <w:uiPriority w:val="99"/>
    <w:rsid w:val="00946A86"/>
    <w:pPr>
      <w:numPr>
        <w:numId w:val="24"/>
      </w:numPr>
    </w:pPr>
  </w:style>
  <w:style w:type="numbering" w:customStyle="1" w:styleId="AUASBListNumParas">
    <w:name w:val="AUASBListNumParas"/>
    <w:uiPriority w:val="99"/>
    <w:rsid w:val="00946A86"/>
    <w:pPr>
      <w:numPr>
        <w:numId w:val="4"/>
      </w:numPr>
    </w:pPr>
  </w:style>
  <w:style w:type="character" w:customStyle="1" w:styleId="Heading1Char">
    <w:name w:val="Heading 1 Char"/>
    <w:basedOn w:val="DefaultParagraphFont"/>
    <w:link w:val="Heading1"/>
    <w:semiHidden/>
    <w:rsid w:val="004D66D9"/>
    <w:rPr>
      <w:rFonts w:cs="Arial"/>
      <w:bCs/>
      <w:caps/>
      <w:sz w:val="32"/>
      <w:szCs w:val="32"/>
      <w:lang w:eastAsia="en-US"/>
    </w:rPr>
  </w:style>
  <w:style w:type="paragraph" w:customStyle="1" w:styleId="Divider">
    <w:name w:val="Divider"/>
    <w:basedOn w:val="ParaPlain"/>
    <w:uiPriority w:val="7"/>
    <w:rsid w:val="00946A86"/>
    <w:pPr>
      <w:spacing w:before="240" w:after="360"/>
      <w:jc w:val="center"/>
    </w:pPr>
  </w:style>
  <w:style w:type="paragraph" w:styleId="BalloonText">
    <w:name w:val="Balloon Text"/>
    <w:basedOn w:val="Normal"/>
    <w:link w:val="BalloonTextChar"/>
    <w:semiHidden/>
    <w:rsid w:val="00946A8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A86"/>
    <w:rPr>
      <w:rFonts w:ascii="Tahoma" w:hAnsi="Tahoma" w:cs="Tahoma"/>
      <w:sz w:val="16"/>
      <w:szCs w:val="16"/>
      <w:lang w:eastAsia="en-US"/>
    </w:rPr>
  </w:style>
  <w:style w:type="table" w:styleId="TableGrid">
    <w:name w:val="Table Grid"/>
    <w:basedOn w:val="TableNormal"/>
    <w:rsid w:val="00946A8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qFormat/>
    <w:rsid w:val="00FC6D4D"/>
    <w:pPr>
      <w:keepNext/>
      <w:spacing w:after="200" w:line="260" w:lineRule="exact"/>
      <w:jc w:val="center"/>
    </w:pPr>
    <w:rPr>
      <w:b/>
      <w:caps/>
      <w:sz w:val="26"/>
      <w:szCs w:val="24"/>
    </w:rPr>
  </w:style>
  <w:style w:type="paragraph" w:customStyle="1" w:styleId="TableHeading">
    <w:name w:val="TableHeading"/>
    <w:basedOn w:val="Normal"/>
    <w:uiPriority w:val="5"/>
    <w:qFormat/>
    <w:rsid w:val="00D87202"/>
    <w:pPr>
      <w:spacing w:before="60" w:after="60" w:line="240" w:lineRule="auto"/>
    </w:pPr>
    <w:rPr>
      <w:b/>
      <w:szCs w:val="24"/>
      <w:lang w:eastAsia="en-AU"/>
    </w:rPr>
  </w:style>
  <w:style w:type="paragraph" w:customStyle="1" w:styleId="TableRow">
    <w:name w:val="TableRow"/>
    <w:basedOn w:val="Normal"/>
    <w:uiPriority w:val="5"/>
    <w:qFormat/>
    <w:rsid w:val="00D87202"/>
    <w:pPr>
      <w:spacing w:before="60" w:after="60" w:line="240" w:lineRule="auto"/>
    </w:pPr>
    <w:rPr>
      <w:szCs w:val="24"/>
      <w:lang w:eastAsia="en-AU"/>
    </w:rPr>
  </w:style>
  <w:style w:type="paragraph" w:customStyle="1" w:styleId="ParaIndent">
    <w:name w:val="ParaIndent"/>
    <w:basedOn w:val="ParaPlain"/>
    <w:uiPriority w:val="1"/>
    <w:qFormat/>
    <w:rsid w:val="00CF1760"/>
    <w:pPr>
      <w:ind w:left="709"/>
    </w:pPr>
    <w:rPr>
      <w:szCs w:val="24"/>
    </w:rPr>
  </w:style>
  <w:style w:type="paragraph" w:customStyle="1" w:styleId="TableLevel1">
    <w:name w:val="TableLevel1"/>
    <w:basedOn w:val="ParaPlain"/>
    <w:link w:val="TableLevel1Char"/>
    <w:uiPriority w:val="6"/>
    <w:qFormat/>
    <w:rsid w:val="0037659A"/>
    <w:pPr>
      <w:numPr>
        <w:numId w:val="9"/>
      </w:numPr>
    </w:pPr>
  </w:style>
  <w:style w:type="paragraph" w:customStyle="1" w:styleId="TableLevel2">
    <w:name w:val="TableLevel2"/>
    <w:basedOn w:val="ParaPlain"/>
    <w:link w:val="TableLevel2Char"/>
    <w:uiPriority w:val="6"/>
    <w:qFormat/>
    <w:rsid w:val="0037659A"/>
    <w:pPr>
      <w:numPr>
        <w:ilvl w:val="1"/>
        <w:numId w:val="9"/>
      </w:numPr>
    </w:pPr>
  </w:style>
  <w:style w:type="character" w:customStyle="1" w:styleId="TableLevel1Char">
    <w:name w:val="TableLevel1 Char"/>
    <w:basedOn w:val="ParaPlainChar"/>
    <w:link w:val="TableLevel1"/>
    <w:uiPriority w:val="6"/>
    <w:rsid w:val="0037659A"/>
    <w:rPr>
      <w:lang w:eastAsia="en-US"/>
    </w:rPr>
  </w:style>
  <w:style w:type="paragraph" w:customStyle="1" w:styleId="TableLevel3">
    <w:name w:val="TableLevel3"/>
    <w:basedOn w:val="ParaPlain"/>
    <w:link w:val="TableLevel3Char"/>
    <w:uiPriority w:val="6"/>
    <w:qFormat/>
    <w:rsid w:val="0037659A"/>
    <w:pPr>
      <w:numPr>
        <w:ilvl w:val="2"/>
        <w:numId w:val="9"/>
      </w:numPr>
    </w:pPr>
  </w:style>
  <w:style w:type="character" w:customStyle="1" w:styleId="TableLevel2Char">
    <w:name w:val="TableLevel2 Char"/>
    <w:basedOn w:val="ParaPlainChar"/>
    <w:link w:val="TableLevel2"/>
    <w:uiPriority w:val="6"/>
    <w:rsid w:val="0037659A"/>
    <w:rPr>
      <w:lang w:eastAsia="en-US"/>
    </w:rPr>
  </w:style>
  <w:style w:type="numbering" w:customStyle="1" w:styleId="TableNumbers">
    <w:name w:val="TableNumbers"/>
    <w:uiPriority w:val="99"/>
    <w:rsid w:val="0037659A"/>
    <w:pPr>
      <w:numPr>
        <w:numId w:val="6"/>
      </w:numPr>
    </w:pPr>
  </w:style>
  <w:style w:type="character" w:customStyle="1" w:styleId="TableLevel3Char">
    <w:name w:val="TableLevel3 Char"/>
    <w:basedOn w:val="ParaPlainChar"/>
    <w:link w:val="TableLevel3"/>
    <w:uiPriority w:val="6"/>
    <w:rsid w:val="0037659A"/>
    <w:rPr>
      <w:lang w:eastAsia="en-US"/>
    </w:rPr>
  </w:style>
  <w:style w:type="paragraph" w:customStyle="1" w:styleId="ListNum1">
    <w:name w:val="ListNum1"/>
    <w:basedOn w:val="ParaPlain"/>
    <w:rsid w:val="004E01D3"/>
    <w:pPr>
      <w:numPr>
        <w:numId w:val="11"/>
      </w:numPr>
    </w:pPr>
  </w:style>
  <w:style w:type="paragraph" w:customStyle="1" w:styleId="ListNum2">
    <w:name w:val="ListNum2"/>
    <w:basedOn w:val="ParaPlain"/>
    <w:link w:val="ListNum2Char"/>
    <w:rsid w:val="004E01D3"/>
    <w:pPr>
      <w:numPr>
        <w:ilvl w:val="1"/>
        <w:numId w:val="11"/>
      </w:numPr>
    </w:pPr>
  </w:style>
  <w:style w:type="paragraph" w:customStyle="1" w:styleId="ListNum3">
    <w:name w:val="ListNum3"/>
    <w:basedOn w:val="ParaPlain"/>
    <w:rsid w:val="004E01D3"/>
    <w:pPr>
      <w:numPr>
        <w:ilvl w:val="2"/>
        <w:numId w:val="11"/>
      </w:numPr>
      <w:tabs>
        <w:tab w:val="left" w:pos="2126"/>
      </w:tabs>
    </w:pPr>
  </w:style>
  <w:style w:type="paragraph" w:customStyle="1" w:styleId="Default">
    <w:name w:val="Default"/>
    <w:rsid w:val="00C84D7A"/>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uiPriority w:val="1"/>
    <w:rsid w:val="002D7E51"/>
    <w:rPr>
      <w:b/>
      <w:bCs/>
      <w:iCs/>
      <w:sz w:val="26"/>
      <w:szCs w:val="26"/>
      <w:lang w:eastAsia="en-US"/>
    </w:rPr>
  </w:style>
  <w:style w:type="character" w:styleId="FollowedHyperlink">
    <w:name w:val="FollowedHyperlink"/>
    <w:basedOn w:val="DefaultParagraphFont"/>
    <w:semiHidden/>
    <w:rsid w:val="004F7517"/>
    <w:rPr>
      <w:color w:val="800080" w:themeColor="followedHyperlink"/>
      <w:u w:val="single"/>
    </w:rPr>
  </w:style>
  <w:style w:type="character" w:customStyle="1" w:styleId="FootnoteTextChar">
    <w:name w:val="Footnote Text Char"/>
    <w:aliases w:val="Footnote Text Char2 Char Char,Footnote Text Char1 Char Char Char,Footnote Text Char Char Char Char Char,ARM footnote Text Char Char Char Char,Footnote Text Char Char1 Char Char,ARM footnote Text Char1 Char Char,Footnote New Char"/>
    <w:basedOn w:val="DefaultParagraphFont"/>
    <w:link w:val="FootnoteText"/>
    <w:locked/>
    <w:rsid w:val="00160A91"/>
    <w:rPr>
      <w:sz w:val="16"/>
      <w:lang w:eastAsia="en-US"/>
    </w:rPr>
  </w:style>
  <w:style w:type="character" w:customStyle="1" w:styleId="ListBulletChar">
    <w:name w:val="ListBullet Char"/>
    <w:basedOn w:val="ParaPlainChar"/>
    <w:link w:val="ListBullet"/>
    <w:locked/>
    <w:rsid w:val="00160A91"/>
    <w:rPr>
      <w:sz w:val="22"/>
      <w:lang w:eastAsia="en-US"/>
    </w:rPr>
  </w:style>
  <w:style w:type="character" w:customStyle="1" w:styleId="ListNum2Char">
    <w:name w:val="ListNum2 Char"/>
    <w:basedOn w:val="ParaPlainChar"/>
    <w:link w:val="ListNum2"/>
    <w:locked/>
    <w:rsid w:val="00160A91"/>
    <w:rPr>
      <w:sz w:val="22"/>
      <w:lang w:eastAsia="en-US"/>
    </w:rPr>
  </w:style>
  <w:style w:type="character" w:customStyle="1" w:styleId="FootnoteTextChar7">
    <w:name w:val="Footnote Text Char7"/>
    <w:aliases w:val="ARM footnote Text Char,Footnote Text Char1 Char,Footnote Text Char11 Char,Footnote Text Char3 Char,Footnote Text Char4 Char,Footnote Text Char5 Char,Footnote Text Char6 Char"/>
    <w:semiHidden/>
    <w:rsid w:val="008A5AAF"/>
    <w:rPr>
      <w:sz w:val="16"/>
      <w:lang w:val="en-AU" w:eastAsia="en-US" w:bidi="ar-SA"/>
    </w:rPr>
  </w:style>
  <w:style w:type="character" w:styleId="CommentReference">
    <w:name w:val="annotation reference"/>
    <w:basedOn w:val="DefaultParagraphFont"/>
    <w:semiHidden/>
    <w:rsid w:val="009B0E8A"/>
    <w:rPr>
      <w:sz w:val="16"/>
      <w:szCs w:val="16"/>
    </w:rPr>
  </w:style>
  <w:style w:type="paragraph" w:styleId="CommentText">
    <w:name w:val="annotation text"/>
    <w:basedOn w:val="Normal"/>
    <w:link w:val="CommentTextChar"/>
    <w:semiHidden/>
    <w:rsid w:val="009B0E8A"/>
    <w:pPr>
      <w:spacing w:line="240" w:lineRule="auto"/>
    </w:pPr>
    <w:rPr>
      <w:sz w:val="20"/>
    </w:rPr>
  </w:style>
  <w:style w:type="character" w:customStyle="1" w:styleId="CommentTextChar">
    <w:name w:val="Comment Text Char"/>
    <w:basedOn w:val="DefaultParagraphFont"/>
    <w:link w:val="CommentText"/>
    <w:semiHidden/>
    <w:rsid w:val="009B0E8A"/>
    <w:rPr>
      <w:lang w:eastAsia="en-US"/>
    </w:rPr>
  </w:style>
  <w:style w:type="paragraph" w:styleId="CommentSubject">
    <w:name w:val="annotation subject"/>
    <w:basedOn w:val="CommentText"/>
    <w:next w:val="CommentText"/>
    <w:link w:val="CommentSubjectChar"/>
    <w:semiHidden/>
    <w:rsid w:val="009B0E8A"/>
    <w:rPr>
      <w:b/>
      <w:bCs/>
    </w:rPr>
  </w:style>
  <w:style w:type="character" w:customStyle="1" w:styleId="CommentSubjectChar">
    <w:name w:val="Comment Subject Char"/>
    <w:basedOn w:val="CommentTextChar"/>
    <w:link w:val="CommentSubject"/>
    <w:semiHidden/>
    <w:rsid w:val="009B0E8A"/>
    <w:rPr>
      <w:b/>
      <w:bCs/>
      <w:lang w:eastAsia="en-US"/>
    </w:rPr>
  </w:style>
  <w:style w:type="character" w:styleId="PlaceholderText">
    <w:name w:val="Placeholder Text"/>
    <w:basedOn w:val="DefaultParagraphFont"/>
    <w:uiPriority w:val="99"/>
    <w:semiHidden/>
    <w:rsid w:val="0091133F"/>
    <w:rPr>
      <w:color w:val="808080"/>
    </w:rPr>
  </w:style>
  <w:style w:type="paragraph" w:styleId="NormalWeb">
    <w:name w:val="Normal (Web)"/>
    <w:basedOn w:val="Normal"/>
    <w:uiPriority w:val="99"/>
    <w:semiHidden/>
    <w:unhideWhenUsed/>
    <w:rsid w:val="00CB36A9"/>
    <w:pPr>
      <w:spacing w:before="100" w:beforeAutospacing="1" w:after="100" w:afterAutospacing="1" w:line="240" w:lineRule="auto"/>
    </w:pPr>
    <w:rPr>
      <w:rFonts w:eastAsiaTheme="minorEastAsia"/>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542952">
      <w:bodyDiv w:val="1"/>
      <w:marLeft w:val="0"/>
      <w:marRight w:val="0"/>
      <w:marTop w:val="0"/>
      <w:marBottom w:val="0"/>
      <w:divBdr>
        <w:top w:val="none" w:sz="0" w:space="0" w:color="auto"/>
        <w:left w:val="none" w:sz="0" w:space="0" w:color="auto"/>
        <w:bottom w:val="none" w:sz="0" w:space="0" w:color="auto"/>
        <w:right w:val="none" w:sz="0" w:space="0" w:color="auto"/>
      </w:divBdr>
    </w:div>
    <w:div w:id="848182800">
      <w:bodyDiv w:val="1"/>
      <w:marLeft w:val="0"/>
      <w:marRight w:val="0"/>
      <w:marTop w:val="0"/>
      <w:marBottom w:val="0"/>
      <w:divBdr>
        <w:top w:val="none" w:sz="0" w:space="0" w:color="auto"/>
        <w:left w:val="none" w:sz="0" w:space="0" w:color="auto"/>
        <w:bottom w:val="none" w:sz="0" w:space="0" w:color="auto"/>
        <w:right w:val="none" w:sz="0" w:space="0" w:color="auto"/>
      </w:divBdr>
    </w:div>
    <w:div w:id="136721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12" ma:contentTypeDescription="Create a new document." ma:contentTypeScope="" ma:versionID="fd00f6551a6d79420c5763fe03b8e9b2">
  <xsd:schema xmlns:xsd="http://www.w3.org/2001/XMLSchema" xmlns:xs="http://www.w3.org/2001/XMLSchema" xmlns:p="http://schemas.microsoft.com/office/2006/metadata/properties" xmlns:ns2="4e2d1ddd-4ff2-4144-ad72-d941cc701c35" xmlns:ns3="1dd36f22-55e0-4a71-b694-5c4938394106" targetNamespace="http://schemas.microsoft.com/office/2006/metadata/properties" ma:root="true" ma:fieldsID="51ca2098ef60d282e10ef3d08b11b322" ns2:_="" ns3:_="">
    <xsd:import namespace="4e2d1ddd-4ff2-4144-ad72-d941cc701c35"/>
    <xsd:import namespace="1dd36f22-55e0-4a71-b694-5c4938394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36f22-55e0-4a71-b694-5c49383941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288A63-9297-42F8-B9E6-0C74ED3440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4EFF16-721C-47BF-9BA7-89BBCE65B983}">
  <ds:schemaRefs>
    <ds:schemaRef ds:uri="http://schemas.openxmlformats.org/officeDocument/2006/bibliography"/>
  </ds:schemaRefs>
</ds:datastoreItem>
</file>

<file path=customXml/itemProps3.xml><?xml version="1.0" encoding="utf-8"?>
<ds:datastoreItem xmlns:ds="http://schemas.openxmlformats.org/officeDocument/2006/customXml" ds:itemID="{F9E6773C-92F6-4C20-869C-38CBA85222D7}">
  <ds:schemaRefs>
    <ds:schemaRef ds:uri="http://schemas.microsoft.com/sharepoint/v3/contenttype/forms"/>
  </ds:schemaRefs>
</ds:datastoreItem>
</file>

<file path=customXml/itemProps4.xml><?xml version="1.0" encoding="utf-8"?>
<ds:datastoreItem xmlns:ds="http://schemas.openxmlformats.org/officeDocument/2006/customXml" ds:itemID="{F4E3C05F-09DE-4F50-B292-A0B0BFBE7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1dd36f22-55e0-4a71-b694-5c493839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3743</Words>
  <Characters>22494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ED Proposed Auditing Standard</vt:lpstr>
    </vt:vector>
  </TitlesOfParts>
  <Company>AUASB</Company>
  <LinksUpToDate>false</LinksUpToDate>
  <CharactersWithSpaces>26185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Proposed Auditing Standard</dc:title>
  <dc:creator>Howard Pratt</dc:creator>
  <cp:lastModifiedBy>James Wake</cp:lastModifiedBy>
  <cp:revision>3</cp:revision>
  <cp:lastPrinted>2017-10-20T01:51:00Z</cp:lastPrinted>
  <dcterms:created xsi:type="dcterms:W3CDTF">2021-04-14T00:11:00Z</dcterms:created>
  <dcterms:modified xsi:type="dcterms:W3CDTF">2021-04-14T00:12:00Z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ies>
</file>