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3F07" w14:textId="77777777" w:rsidR="00237F0A" w:rsidRDefault="00441E07" w:rsidP="00D6750F">
      <w:pPr>
        <w:pStyle w:val="AppendixTop"/>
      </w:pPr>
      <w:bookmarkStart w:id="0" w:name="TOCEnd"/>
      <w:bookmarkEnd w:id="0"/>
      <w:r>
        <w:t>Appendix 1</w:t>
      </w:r>
    </w:p>
    <w:p w14:paraId="09C3F2F9" w14:textId="77777777" w:rsidR="00237F0A" w:rsidRDefault="00614B2C" w:rsidP="00D6750F">
      <w:pPr>
        <w:pStyle w:val="AppendixRef"/>
      </w:pPr>
      <w:r w:rsidRPr="00614B2C">
        <w:rPr>
          <w:rStyle w:val="RefParas"/>
        </w:rPr>
        <w:t>(</w:t>
      </w:r>
      <w:r>
        <w:rPr>
          <w:rStyle w:val="RefParas"/>
        </w:rPr>
        <w:t>Ref: Para. </w:t>
      </w:r>
      <w:r w:rsidR="00034009">
        <w:rPr>
          <w:rStyle w:val="RefParas"/>
        </w:rPr>
        <w:t>A</w:t>
      </w:r>
      <w:r w:rsidRPr="00614B2C">
        <w:rPr>
          <w:rStyle w:val="RefParas"/>
        </w:rPr>
        <w:t>8)</w:t>
      </w:r>
    </w:p>
    <w:p w14:paraId="3D4CDEA6" w14:textId="77777777" w:rsidR="00E82855" w:rsidRPr="00924A05" w:rsidRDefault="00E82855" w:rsidP="00E82855">
      <w:pPr>
        <w:pStyle w:val="Heading4"/>
      </w:pPr>
      <w:r w:rsidRPr="00E82855">
        <w:t>Illustrations</w:t>
      </w:r>
      <w:r w:rsidRPr="00924A05">
        <w:t xml:space="preserve"> </w:t>
      </w:r>
      <w:r w:rsidRPr="00E82855">
        <w:t>of</w:t>
      </w:r>
      <w:r w:rsidRPr="00924A05">
        <w:t xml:space="preserve"> </w:t>
      </w:r>
      <w:r w:rsidRPr="00E82855">
        <w:t>Auditors’</w:t>
      </w:r>
      <w:r w:rsidRPr="00924A05">
        <w:t xml:space="preserve"> </w:t>
      </w:r>
      <w:r w:rsidRPr="00E82855">
        <w:t>Reports</w:t>
      </w:r>
      <w:r w:rsidRPr="00924A05">
        <w:t xml:space="preserve"> </w:t>
      </w:r>
      <w:r w:rsidRPr="00E82855">
        <w:t>with</w:t>
      </w:r>
      <w:r w:rsidRPr="00924A05">
        <w:t xml:space="preserve"> </w:t>
      </w:r>
      <w:r w:rsidRPr="00E82855">
        <w:t>Modified</w:t>
      </w:r>
      <w:r w:rsidRPr="00924A05">
        <w:t xml:space="preserve"> </w:t>
      </w:r>
      <w:r w:rsidRPr="00E82855">
        <w:t>Opinions</w:t>
      </w:r>
    </w:p>
    <w:p w14:paraId="490655E1" w14:textId="77777777" w:rsidR="00E82855" w:rsidRPr="00924A05" w:rsidRDefault="00E82855" w:rsidP="00E82855">
      <w:pPr>
        <w:pStyle w:val="ListBullet"/>
        <w:ind w:left="567" w:hanging="567"/>
      </w:pPr>
      <w:r w:rsidRPr="00924A05">
        <w:t xml:space="preserve">Illustration 1: An auditor’s report containing a qualified opinion due to the inability of the auditor to obtain sufficient appropriate audit evidence regarding opening balances—the financial report is not prepared under the </w:t>
      </w:r>
      <w:r w:rsidR="00614B2C">
        <w:rPr>
          <w:i/>
        </w:rPr>
        <w:t>Corporations Act 2001</w:t>
      </w:r>
      <w:r w:rsidRPr="00924A05">
        <w:t>.</w:t>
      </w:r>
    </w:p>
    <w:p w14:paraId="13196ED5" w14:textId="77777777" w:rsidR="00E82855" w:rsidRPr="00924A05" w:rsidRDefault="00E82855" w:rsidP="00E82855">
      <w:pPr>
        <w:pStyle w:val="ListBullet"/>
        <w:ind w:left="567" w:hanging="567"/>
      </w:pPr>
      <w:r w:rsidRPr="00924A05">
        <w:t>Illustration 2: [Example Auditor’s Report deleted by the AUASB—not applicable in Australia.]</w:t>
      </w:r>
    </w:p>
    <w:p w14:paraId="51BDAFE7" w14:textId="77777777" w:rsidR="00E82855" w:rsidRDefault="00E82855" w:rsidP="00E82855">
      <w:pPr>
        <w:pStyle w:val="ListBullet"/>
        <w:ind w:left="567" w:hanging="567"/>
      </w:pPr>
      <w:r w:rsidRPr="00924A05">
        <w:t>[</w:t>
      </w:r>
      <w:proofErr w:type="spellStart"/>
      <w:r w:rsidRPr="00924A05">
        <w:t>Aus</w:t>
      </w:r>
      <w:proofErr w:type="spellEnd"/>
      <w:r w:rsidRPr="00924A05">
        <w:t xml:space="preserve">] Illustration 2A: An auditor’s report containing a qualified opinion due to the inability of the auditor to obtain sufficient appropriate audit evidence regarding opening balances—the financial report is prepared under the </w:t>
      </w:r>
      <w:r w:rsidR="00614B2C">
        <w:rPr>
          <w:i/>
        </w:rPr>
        <w:t>Corporations Act 2001</w:t>
      </w:r>
      <w:r w:rsidRPr="00924A05">
        <w:t>.</w:t>
      </w:r>
      <w:r w:rsidR="007D2812">
        <w:t xml:space="preserve"> </w:t>
      </w:r>
    </w:p>
    <w:p w14:paraId="7512188A" w14:textId="77777777" w:rsidR="00CE485B" w:rsidRDefault="00CE485B" w:rsidP="00CE485B">
      <w:pPr>
        <w:pStyle w:val="ListBullet"/>
        <w:numPr>
          <w:ilvl w:val="0"/>
          <w:numId w:val="0"/>
        </w:numPr>
        <w:ind w:left="567"/>
      </w:pPr>
    </w:p>
    <w:p w14:paraId="52446E5A" w14:textId="77777777" w:rsidR="00CE485B" w:rsidRPr="00CE485B" w:rsidRDefault="00CE485B" w:rsidP="00CE485B">
      <w:pPr>
        <w:ind w:left="567" w:hanging="567"/>
      </w:pPr>
      <w:r w:rsidRPr="00C4031D">
        <w:t>Note:</w:t>
      </w:r>
      <w:r w:rsidRPr="00C4031D">
        <w:tab/>
        <w:t xml:space="preserve">Throughout these illustrative auditor’s reports, the </w:t>
      </w:r>
      <w:r w:rsidRPr="00C4031D">
        <w:rPr>
          <w:i/>
        </w:rPr>
        <w:t>Opinion</w:t>
      </w:r>
      <w:r w:rsidRPr="00C4031D">
        <w:t xml:space="preserve"> section has been positioned first in accordance with ASA 700, and the </w:t>
      </w:r>
      <w:r w:rsidRPr="00C4031D">
        <w:rPr>
          <w:i/>
        </w:rPr>
        <w:t>Basis for Opinion</w:t>
      </w:r>
      <w:r w:rsidRPr="00C4031D">
        <w:t xml:space="preserve"> section is positioned immediately after the Opinion section. </w:t>
      </w:r>
      <w:r w:rsidR="00C8467C">
        <w:t xml:space="preserve"> </w:t>
      </w:r>
      <w:r w:rsidRPr="00C4031D">
        <w:t xml:space="preserve">Also, the first and last sentence that was included in the extant auditor’s responsibilities section is now subsumed as part of the new </w:t>
      </w:r>
      <w:r w:rsidRPr="00C4031D">
        <w:rPr>
          <w:i/>
        </w:rPr>
        <w:t>Basis for Opinion</w:t>
      </w:r>
      <w:r w:rsidRPr="00C4031D">
        <w:t xml:space="preserve"> section.</w:t>
      </w:r>
    </w:p>
    <w:p w14:paraId="264A553A" w14:textId="77777777" w:rsidR="00E82855" w:rsidRDefault="00E82855">
      <w:pPr>
        <w:spacing w:line="240" w:lineRule="auto"/>
      </w:pPr>
      <w:r>
        <w:br w:type="page"/>
      </w:r>
    </w:p>
    <w:p w14:paraId="0CB46671" w14:textId="77777777" w:rsidR="00B31C74" w:rsidRDefault="0049402A" w:rsidP="00B31C74">
      <w:pPr>
        <w:pStyle w:val="Heading8"/>
        <w:spacing w:after="0"/>
        <w:jc w:val="center"/>
        <w:rPr>
          <w:b/>
          <w:sz w:val="26"/>
          <w:szCs w:val="26"/>
        </w:rPr>
      </w:pPr>
      <w:r w:rsidRPr="007C1417">
        <w:rPr>
          <w:b/>
          <w:sz w:val="26"/>
          <w:szCs w:val="26"/>
        </w:rPr>
        <w:lastRenderedPageBreak/>
        <w:t xml:space="preserve">Example Auditor’s Report </w:t>
      </w:r>
      <w:r w:rsidRPr="007C1417">
        <w:rPr>
          <w:b/>
          <w:sz w:val="26"/>
          <w:szCs w:val="26"/>
        </w:rPr>
        <w:br/>
        <w:t>Qualified Opinion—Jurisdiction Prohibits a Qualified Opinion on Performance and Cash Flows and an Unmodified Opinion on Financial Position</w:t>
      </w:r>
    </w:p>
    <w:p w14:paraId="7FCAC4C1" w14:textId="77777777" w:rsidR="00B31C74" w:rsidRPr="00B31C74" w:rsidRDefault="00B31C74" w:rsidP="00B31C74">
      <w:pPr>
        <w:pStyle w:val="Heading8"/>
        <w:jc w:val="center"/>
        <w:rPr>
          <w:b/>
          <w:sz w:val="26"/>
          <w:szCs w:val="26"/>
        </w:rPr>
      </w:pPr>
      <w:r w:rsidRPr="00B31C74">
        <w:rPr>
          <w:b/>
          <w:sz w:val="26"/>
          <w:szCs w:val="26"/>
        </w:rPr>
        <w:t>(Fair Presentation Framework)</w:t>
      </w:r>
    </w:p>
    <w:p w14:paraId="20EB19CD" w14:textId="77777777" w:rsidR="0049402A" w:rsidRPr="00C4031D" w:rsidRDefault="0049402A" w:rsidP="00694E66">
      <w:pPr>
        <w:pStyle w:val="ParaPlain"/>
        <w:pBdr>
          <w:top w:val="single" w:sz="4" w:space="1" w:color="auto"/>
          <w:left w:val="single" w:sz="4" w:space="4" w:color="auto"/>
          <w:bottom w:val="single" w:sz="4" w:space="1" w:color="auto"/>
          <w:right w:val="single" w:sz="4" w:space="4" w:color="auto"/>
        </w:pBdr>
      </w:pPr>
      <w:r w:rsidRPr="00C4031D">
        <w:t xml:space="preserve">Illustration 1: </w:t>
      </w:r>
    </w:p>
    <w:p w14:paraId="76498059" w14:textId="77777777" w:rsidR="0049402A" w:rsidRPr="00C4031D" w:rsidRDefault="003D61FC" w:rsidP="00694E66">
      <w:pPr>
        <w:pStyle w:val="ParaPlain"/>
        <w:pBdr>
          <w:top w:val="single" w:sz="4" w:space="1" w:color="auto"/>
          <w:left w:val="single" w:sz="4" w:space="4" w:color="auto"/>
          <w:bottom w:val="single" w:sz="4" w:space="1" w:color="auto"/>
          <w:right w:val="single" w:sz="4" w:space="4" w:color="auto"/>
        </w:pBdr>
      </w:pPr>
      <w:r w:rsidRPr="00C4031D">
        <w:t>For purposes of this illustrative auditor’s report, the following c</w:t>
      </w:r>
      <w:r w:rsidR="0049402A" w:rsidRPr="00C4031D">
        <w:t xml:space="preserve">ircumstances </w:t>
      </w:r>
      <w:r w:rsidRPr="00C4031D">
        <w:t>are assumed</w:t>
      </w:r>
      <w:r w:rsidR="0049402A" w:rsidRPr="00C4031D">
        <w:t>:</w:t>
      </w:r>
    </w:p>
    <w:p w14:paraId="7CCDBCFB" w14:textId="77777777" w:rsidR="00277BC9"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 xml:space="preserve">Audit of </w:t>
      </w:r>
      <w:r w:rsidR="001E46DC" w:rsidRPr="00C4031D">
        <w:t xml:space="preserve">the </w:t>
      </w:r>
      <w:r w:rsidRPr="00C4031D">
        <w:t>financial report of an entity other than a listed entit</w:t>
      </w:r>
      <w:r w:rsidR="00B31C74" w:rsidRPr="00C4031D">
        <w:t>y</w:t>
      </w:r>
      <w:r w:rsidRPr="00C4031D">
        <w:t>.  The audit is not a group audit (i.e., ASA 600</w:t>
      </w:r>
      <w:r w:rsidRPr="00C4031D">
        <w:rPr>
          <w:rStyle w:val="FootnoteReference"/>
        </w:rPr>
        <w:footnoteReference w:id="1"/>
      </w:r>
      <w:r w:rsidRPr="00C4031D">
        <w:t xml:space="preserve"> does not apply).</w:t>
      </w:r>
    </w:p>
    <w:p w14:paraId="7BD7E3B0" w14:textId="77777777" w:rsidR="00277BC9"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financial report is prepared by management of the entity in accordance with Australian Accounting Standards (a general purpose framework).</w:t>
      </w:r>
      <w:r w:rsidR="00550065" w:rsidRPr="00C4031D">
        <w:t xml:space="preserve">  The financial report is </w:t>
      </w:r>
      <w:r w:rsidR="00550065" w:rsidRPr="00C4031D">
        <w:rPr>
          <w:i/>
        </w:rPr>
        <w:t>not</w:t>
      </w:r>
      <w:r w:rsidR="00550065" w:rsidRPr="00C4031D">
        <w:t xml:space="preserve"> prepared under the </w:t>
      </w:r>
      <w:r w:rsidR="003220EE">
        <w:rPr>
          <w:i/>
        </w:rPr>
        <w:t>Corporations Act </w:t>
      </w:r>
      <w:r w:rsidR="00550065" w:rsidRPr="00C4031D">
        <w:rPr>
          <w:i/>
        </w:rPr>
        <w:t>2001</w:t>
      </w:r>
      <w:r w:rsidR="00550065" w:rsidRPr="00C4031D">
        <w:t>.</w:t>
      </w:r>
    </w:p>
    <w:p w14:paraId="2446D68B" w14:textId="77777777" w:rsidR="003F466C"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terms of the audit engagement reflect the description of management’s responsibility for the financial report in ASA 210.</w:t>
      </w:r>
      <w:r w:rsidRPr="00C4031D">
        <w:rPr>
          <w:rStyle w:val="FootnoteReference"/>
        </w:rPr>
        <w:footnoteReference w:id="2"/>
      </w:r>
    </w:p>
    <w:p w14:paraId="4CA152DC" w14:textId="77777777" w:rsidR="0049402A"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auditor did not observe the counting of the physical inventory at the beginning of the current period and was unable to obtain sufficient appropriate audit evidence regarding the opening balances of inventory.</w:t>
      </w:r>
    </w:p>
    <w:p w14:paraId="63F49CE2" w14:textId="77777777" w:rsidR="0049402A"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possible effects of the inability to obtain sufficient appropriate audit evidence regarding opening balances of inventory are deemed to be material but not pervasive to the entity’s financial performance and cash flows.</w:t>
      </w:r>
      <w:r w:rsidRPr="00C4031D">
        <w:rPr>
          <w:rStyle w:val="FootnoteReference"/>
        </w:rPr>
        <w:footnoteReference w:id="3"/>
      </w:r>
      <w:r w:rsidRPr="00C4031D">
        <w:t xml:space="preserve"> </w:t>
      </w:r>
    </w:p>
    <w:p w14:paraId="3A337793" w14:textId="77777777" w:rsidR="0049402A"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financial position at year end is fairly presented.</w:t>
      </w:r>
    </w:p>
    <w:p w14:paraId="637F0456" w14:textId="77777777" w:rsidR="003F466C" w:rsidRPr="00C4031D" w:rsidRDefault="0049402A"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In this jurisdiction, law and regulation prohibit the auditor from giving an opinion which is qualified regarding the financial performance and cash flows and unmodified regarding financial position.</w:t>
      </w:r>
      <w:r w:rsidR="00D51345" w:rsidRPr="00C4031D">
        <w:t xml:space="preserve"> </w:t>
      </w:r>
      <w:r w:rsidR="001B2BDF" w:rsidRPr="00C4031D">
        <w:t xml:space="preserve"> </w:t>
      </w:r>
    </w:p>
    <w:p w14:paraId="1AD65174" w14:textId="71C3F892" w:rsidR="00277BC9" w:rsidRPr="00C4031D" w:rsidRDefault="00277BC9"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 xml:space="preserve">The relevant ethical requirements that apply to the audit are the Accounting Professional </w:t>
      </w:r>
      <w:r w:rsidR="00B11AF5">
        <w:t xml:space="preserve">&amp; </w:t>
      </w:r>
      <w:r w:rsidRPr="00C4031D">
        <w:t xml:space="preserve">Ethical Standards Board’s APES 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B11AF5">
        <w:rPr>
          <w:i/>
        </w:rPr>
        <w:t xml:space="preserve"> </w:t>
      </w:r>
      <w:r w:rsidR="00B11AF5" w:rsidRPr="00B11AF5">
        <w:rPr>
          <w:i/>
        </w:rPr>
        <w:t>(including Independence Standards)</w:t>
      </w:r>
      <w:r w:rsidRPr="00C4031D">
        <w:t>.</w:t>
      </w:r>
    </w:p>
    <w:p w14:paraId="2AFF8C6F" w14:textId="77777777" w:rsidR="00DE2350" w:rsidRPr="00C4031D" w:rsidRDefault="00DE2350"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Based on the audit evidence obtained, the auditor has concluded that a material uncertainty does not exist related to events or conditions that may cast significant doubt on the entity’s ability to continue as a going concern in accordance with ASA 570.</w:t>
      </w:r>
      <w:r w:rsidRPr="00C4031D">
        <w:rPr>
          <w:rStyle w:val="FootnoteReference"/>
        </w:rPr>
        <w:footnoteReference w:id="4"/>
      </w:r>
      <w:r w:rsidRPr="00C4031D">
        <w:t xml:space="preserve"> </w:t>
      </w:r>
    </w:p>
    <w:p w14:paraId="28BB4821" w14:textId="77777777" w:rsidR="001B2BDF" w:rsidRPr="00C4031D" w:rsidRDefault="001B2BDF"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auditor is not required, and has otherwise not decided, to communicate key audit matters in accordance with ASA 701.</w:t>
      </w:r>
      <w:r w:rsidRPr="00C4031D">
        <w:rPr>
          <w:rStyle w:val="FootnoteReference"/>
        </w:rPr>
        <w:footnoteReference w:id="5"/>
      </w:r>
    </w:p>
    <w:p w14:paraId="33CAF09B" w14:textId="77777777" w:rsidR="001B2BDF" w:rsidRPr="00C4031D" w:rsidRDefault="001B2BDF"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Corresponding figures are presented, and the prior period’s financial report was audited by a predecessor auditor.  The auditor is not prohibited by law or regulation from referring to the predecessor auditor’s report on the corresponding figures and has decided to do so.</w:t>
      </w:r>
    </w:p>
    <w:p w14:paraId="0B7D4341" w14:textId="77777777" w:rsidR="00986434" w:rsidRPr="00C4031D" w:rsidRDefault="00986434" w:rsidP="0098643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Those responsible for oversight of the financial report differ from those responsible for the preparation of the financial report.</w:t>
      </w:r>
    </w:p>
    <w:p w14:paraId="5F89B907" w14:textId="77777777" w:rsidR="00CB4915" w:rsidRPr="00C4031D" w:rsidRDefault="00CB4915" w:rsidP="00B31C74">
      <w:pPr>
        <w:pStyle w:val="ListBullet"/>
        <w:pBdr>
          <w:top w:val="single" w:sz="4" w:space="1" w:color="auto"/>
          <w:left w:val="single" w:sz="4" w:space="4" w:color="auto"/>
          <w:bottom w:val="single" w:sz="4" w:space="1" w:color="auto"/>
          <w:right w:val="single" w:sz="4" w:space="4" w:color="auto"/>
        </w:pBdr>
        <w:spacing w:after="120"/>
        <w:ind w:left="567" w:hanging="567"/>
      </w:pPr>
      <w:r w:rsidRPr="00C4031D">
        <w:t>The auditor has obtained all of the other information prior to the date of the auditor’s report and has not identified a material misstatement of the other information.</w:t>
      </w:r>
      <w:r w:rsidRPr="00C4031D">
        <w:rPr>
          <w:rStyle w:val="FootnoteReference"/>
        </w:rPr>
        <w:footnoteReference w:customMarkFollows="1" w:id="6"/>
        <w:t>*</w:t>
      </w:r>
    </w:p>
    <w:p w14:paraId="389B7DE9" w14:textId="4315B786" w:rsidR="003F466C" w:rsidRDefault="001B2BDF" w:rsidP="00501188">
      <w:pPr>
        <w:pStyle w:val="ListBullet"/>
        <w:pBdr>
          <w:top w:val="single" w:sz="4" w:space="1" w:color="auto"/>
          <w:left w:val="single" w:sz="4" w:space="4" w:color="auto"/>
          <w:bottom w:val="single" w:sz="4" w:space="1" w:color="auto"/>
          <w:right w:val="single" w:sz="4" w:space="4" w:color="auto"/>
        </w:pBdr>
        <w:spacing w:after="0"/>
        <w:ind w:left="567" w:hanging="567"/>
      </w:pPr>
      <w:r w:rsidRPr="00C4031D">
        <w:t>In addition to the audit of the financial report, the auditor has other reporting responsibilities required under local law.</w:t>
      </w:r>
    </w:p>
    <w:p w14:paraId="403A234B" w14:textId="77777777" w:rsidR="00B603A9" w:rsidRDefault="00B603A9">
      <w:pPr>
        <w:spacing w:line="240" w:lineRule="auto"/>
      </w:pPr>
      <w:r>
        <w:br w:type="page"/>
      </w:r>
    </w:p>
    <w:p w14:paraId="1168D14F" w14:textId="77777777" w:rsidR="0049402A" w:rsidRPr="00F91E4D" w:rsidRDefault="0049402A" w:rsidP="001B2BDF">
      <w:pPr>
        <w:pStyle w:val="ListBullet"/>
        <w:numPr>
          <w:ilvl w:val="0"/>
          <w:numId w:val="0"/>
        </w:numPr>
        <w:spacing w:before="120"/>
      </w:pPr>
      <w:r w:rsidRPr="00F91E4D">
        <w:lastRenderedPageBreak/>
        <w:t>INDEPENDENT AUDITOR’S REPORT</w:t>
      </w:r>
    </w:p>
    <w:p w14:paraId="7D328E19" w14:textId="77777777" w:rsidR="0049402A" w:rsidRPr="00C4031D" w:rsidRDefault="005F6F86" w:rsidP="0049402A">
      <w:pPr>
        <w:pStyle w:val="ParaPlain"/>
      </w:pPr>
      <w:r w:rsidRPr="00C4031D">
        <w:t xml:space="preserve">To the Members of ABC Entity [or Other </w:t>
      </w:r>
      <w:r w:rsidR="0049402A" w:rsidRPr="00C4031D">
        <w:t>Appropriate Addressee]</w:t>
      </w:r>
    </w:p>
    <w:p w14:paraId="17826373" w14:textId="77777777" w:rsidR="0049402A" w:rsidRPr="00C4031D" w:rsidRDefault="0049402A" w:rsidP="0049402A">
      <w:pPr>
        <w:pStyle w:val="Heading6"/>
        <w:rPr>
          <w:rStyle w:val="Heading8Char"/>
        </w:rPr>
      </w:pPr>
      <w:r w:rsidRPr="00C4031D">
        <w:rPr>
          <w:rStyle w:val="Heading8Char"/>
        </w:rPr>
        <w:t xml:space="preserve">Report on the </w:t>
      </w:r>
      <w:r w:rsidR="00D03046" w:rsidRPr="00C4031D">
        <w:rPr>
          <w:rStyle w:val="Heading8Char"/>
        </w:rPr>
        <w:t xml:space="preserve">Audit of the </w:t>
      </w:r>
      <w:r w:rsidRPr="00C4031D">
        <w:rPr>
          <w:rStyle w:val="Heading8Char"/>
        </w:rPr>
        <w:t>Financial Report</w:t>
      </w:r>
      <w:r w:rsidRPr="00C4031D">
        <w:rPr>
          <w:rStyle w:val="FootnoteReference"/>
          <w:b w:val="0"/>
        </w:rPr>
        <w:footnoteReference w:id="7"/>
      </w:r>
    </w:p>
    <w:p w14:paraId="002DEAC1" w14:textId="77777777" w:rsidR="00614B2C" w:rsidRPr="00C4031D" w:rsidRDefault="00614B2C" w:rsidP="00614B2C">
      <w:pPr>
        <w:pStyle w:val="Heading8"/>
        <w:rPr>
          <w:b/>
        </w:rPr>
      </w:pPr>
      <w:r w:rsidRPr="00C4031D">
        <w:rPr>
          <w:b/>
        </w:rPr>
        <w:t>Qualified Opinion</w:t>
      </w:r>
    </w:p>
    <w:p w14:paraId="7C939586" w14:textId="77777777" w:rsidR="0049402A" w:rsidRPr="00C4031D" w:rsidRDefault="0049402A" w:rsidP="0049402A">
      <w:pPr>
        <w:pStyle w:val="ParaPlain"/>
      </w:pPr>
      <w:r w:rsidRPr="00C4031D">
        <w:t xml:space="preserve">We have audited the financial report of ABC </w:t>
      </w:r>
      <w:r w:rsidR="00AE0F34" w:rsidRPr="00C4031D">
        <w:t xml:space="preserve">Entity </w:t>
      </w:r>
      <w:r w:rsidR="00614B2C" w:rsidRPr="00C4031D">
        <w:t xml:space="preserve">(the </w:t>
      </w:r>
      <w:r w:rsidR="00AE0F34" w:rsidRPr="00C4031D">
        <w:t>Entity)</w:t>
      </w:r>
      <w:r w:rsidRPr="00C4031D">
        <w:t xml:space="preserve">, which comprises the statement of financial position as at 30 June 20X1, the statement of comprehensive income, statement of changes in equity and statement of cash flows for the year then ended, </w:t>
      </w:r>
      <w:r w:rsidR="00614B2C" w:rsidRPr="00C4031D">
        <w:t xml:space="preserve">and </w:t>
      </w:r>
      <w:r w:rsidRPr="00C4031D">
        <w:t xml:space="preserve">notes </w:t>
      </w:r>
      <w:r w:rsidR="00614B2C" w:rsidRPr="00C4031D">
        <w:t xml:space="preserve">to the financial statements, including </w:t>
      </w:r>
      <w:r w:rsidRPr="00C4031D">
        <w:t xml:space="preserve">a summary of significant accounting policies, and </w:t>
      </w:r>
      <w:r w:rsidR="00034009" w:rsidRPr="00C4031D">
        <w:t>the declaration by those charged with governance</w:t>
      </w:r>
      <w:r w:rsidRPr="00C4031D">
        <w:t>.</w:t>
      </w:r>
      <w:r w:rsidRPr="00C4031D">
        <w:rPr>
          <w:rStyle w:val="FootnoteReference"/>
        </w:rPr>
        <w:footnoteReference w:customMarkFollows="1" w:id="8"/>
        <w:sym w:font="Symbol" w:char="F02A"/>
      </w:r>
    </w:p>
    <w:p w14:paraId="44DC245A" w14:textId="77777777" w:rsidR="00614B2C" w:rsidRPr="00C4031D" w:rsidRDefault="00614B2C" w:rsidP="00614B2C">
      <w:pPr>
        <w:pStyle w:val="ParaPlain"/>
      </w:pPr>
      <w:r w:rsidRPr="00C4031D">
        <w:t xml:space="preserve">In our opinion, except for the possible effects of the matter described in the </w:t>
      </w:r>
      <w:r w:rsidRPr="00C4031D">
        <w:rPr>
          <w:i/>
        </w:rPr>
        <w:t>Basis for Qualified Opinion</w:t>
      </w:r>
      <w:r w:rsidRPr="00C4031D">
        <w:t xml:space="preserve"> section of our report, the accompanying financial report presents fairly, in all material respects, (or </w:t>
      </w:r>
      <w:r w:rsidRPr="00C4031D">
        <w:rPr>
          <w:i/>
        </w:rPr>
        <w:t>gives</w:t>
      </w:r>
      <w:r w:rsidRPr="00C4031D">
        <w:t xml:space="preserve"> </w:t>
      </w:r>
      <w:r w:rsidRPr="00C4031D">
        <w:rPr>
          <w:i/>
        </w:rPr>
        <w:t>a</w:t>
      </w:r>
      <w:r w:rsidRPr="00C4031D">
        <w:t xml:space="preserve"> </w:t>
      </w:r>
      <w:r w:rsidRPr="00C4031D">
        <w:rPr>
          <w:i/>
        </w:rPr>
        <w:t>true</w:t>
      </w:r>
      <w:r w:rsidRPr="00C4031D">
        <w:t xml:space="preserve"> </w:t>
      </w:r>
      <w:r w:rsidRPr="00C4031D">
        <w:rPr>
          <w:i/>
        </w:rPr>
        <w:t>and</w:t>
      </w:r>
      <w:r w:rsidRPr="00C4031D">
        <w:t xml:space="preserve"> </w:t>
      </w:r>
      <w:r w:rsidRPr="00C4031D">
        <w:rPr>
          <w:i/>
        </w:rPr>
        <w:t>fair</w:t>
      </w:r>
      <w:r w:rsidRPr="00C4031D">
        <w:t xml:space="preserve"> </w:t>
      </w:r>
      <w:r w:rsidRPr="00C4031D">
        <w:rPr>
          <w:i/>
        </w:rPr>
        <w:t>view</w:t>
      </w:r>
      <w:r w:rsidRPr="00C4031D">
        <w:t xml:space="preserve"> </w:t>
      </w:r>
      <w:r w:rsidRPr="00C4031D">
        <w:rPr>
          <w:i/>
        </w:rPr>
        <w:t>of</w:t>
      </w:r>
      <w:r w:rsidRPr="00C4031D">
        <w:t xml:space="preserve">) the financial position of the </w:t>
      </w:r>
      <w:r w:rsidR="00AE0F34" w:rsidRPr="00C4031D">
        <w:t>Entity</w:t>
      </w:r>
      <w:r w:rsidR="003220EE">
        <w:t xml:space="preserve"> as at 30 June </w:t>
      </w:r>
      <w:r w:rsidRPr="00C4031D">
        <w:t>20X1</w:t>
      </w:r>
      <w:r w:rsidR="007B2B06" w:rsidRPr="00C4031D">
        <w:t>,</w:t>
      </w:r>
      <w:r w:rsidRPr="00C4031D">
        <w:t xml:space="preserve"> and (</w:t>
      </w:r>
      <w:r w:rsidRPr="00C4031D">
        <w:rPr>
          <w:i/>
        </w:rPr>
        <w:t>of</w:t>
      </w:r>
      <w:r w:rsidRPr="00C4031D">
        <w:t>) its financial performance and its cash flows for the year then ended in accordance with Australian Accounting Standards.</w:t>
      </w:r>
    </w:p>
    <w:p w14:paraId="4C6B5D7F" w14:textId="77777777" w:rsidR="00614B2C" w:rsidRPr="00C4031D" w:rsidRDefault="00614B2C" w:rsidP="007C1417">
      <w:pPr>
        <w:pStyle w:val="Heading8"/>
        <w:rPr>
          <w:b/>
        </w:rPr>
      </w:pPr>
      <w:r w:rsidRPr="00C4031D">
        <w:rPr>
          <w:b/>
        </w:rPr>
        <w:t>Basis for Qualified Opinion</w:t>
      </w:r>
    </w:p>
    <w:p w14:paraId="4DEEB1F2" w14:textId="77777777" w:rsidR="00614B2C" w:rsidRPr="00C4031D" w:rsidRDefault="00614B2C" w:rsidP="00614B2C">
      <w:pPr>
        <w:pStyle w:val="ParaPlain"/>
      </w:pPr>
      <w:r w:rsidRPr="00C4031D">
        <w:t xml:space="preserve">We were appointed as auditors of the </w:t>
      </w:r>
      <w:r w:rsidR="00034009" w:rsidRPr="00C4031D">
        <w:t>Entity</w:t>
      </w:r>
      <w:r w:rsidRPr="00C4031D">
        <w:t xml:space="preserve"> on 31 December 20X0 and thus did not observe the counting of the physical inventories at the beginning of the year.  We were unable to satisfy ourselves by alternative means concerning inven</w:t>
      </w:r>
      <w:r w:rsidR="00C976E8">
        <w:t>tory quantities held at 30 June </w:t>
      </w:r>
      <w:r w:rsidRPr="00C4031D">
        <w:t>20X0.  Since opening inventories enter into the determination of the financial performance and cash flows, we were unable to determine whether adjustments might have been necessary in respect of the income for the year reported in the statement of comprehensive income and the net cash flows from operating activities reported in the statement of cash flows.</w:t>
      </w:r>
    </w:p>
    <w:p w14:paraId="592D5E77" w14:textId="332E750F" w:rsidR="00614B2C" w:rsidRPr="00C4031D" w:rsidRDefault="00614B2C" w:rsidP="00614B2C">
      <w:pPr>
        <w:pStyle w:val="ParaPlain"/>
      </w:pPr>
      <w:r w:rsidRPr="00C4031D">
        <w:t xml:space="preserve">We conducted our audit in accordance with Australian Auditing Standards.  Our responsibilities under those standards are further described in the </w:t>
      </w:r>
      <w:r w:rsidRPr="00C4031D">
        <w:rPr>
          <w:i/>
        </w:rPr>
        <w:t>Auditor’s</w:t>
      </w:r>
      <w:r w:rsidRPr="00C4031D">
        <w:t xml:space="preserve"> </w:t>
      </w:r>
      <w:r w:rsidRPr="00C4031D">
        <w:rPr>
          <w:i/>
        </w:rPr>
        <w:t>Responsibilities</w:t>
      </w:r>
      <w:r w:rsidRPr="00C4031D">
        <w:t xml:space="preserve"> </w:t>
      </w:r>
      <w:r w:rsidRPr="00C4031D">
        <w:rPr>
          <w:i/>
        </w:rPr>
        <w:t>for</w:t>
      </w:r>
      <w:r w:rsidRPr="00C4031D">
        <w:t xml:space="preserve"> </w:t>
      </w:r>
      <w:r w:rsidRPr="00C4031D">
        <w:rPr>
          <w:i/>
        </w:rPr>
        <w:t>the</w:t>
      </w:r>
      <w:r w:rsidRPr="00C4031D">
        <w:t xml:space="preserve"> </w:t>
      </w:r>
      <w:r w:rsidRPr="00C4031D">
        <w:rPr>
          <w:i/>
        </w:rPr>
        <w:t>Audit</w:t>
      </w:r>
      <w:r w:rsidRPr="00C4031D">
        <w:t xml:space="preserve"> </w:t>
      </w:r>
      <w:r w:rsidRPr="00C4031D">
        <w:rPr>
          <w:i/>
        </w:rPr>
        <w:t>of</w:t>
      </w:r>
      <w:r w:rsidRPr="00C4031D">
        <w:t xml:space="preserve"> </w:t>
      </w:r>
      <w:r w:rsidRPr="00C4031D">
        <w:rPr>
          <w:i/>
        </w:rPr>
        <w:t>the</w:t>
      </w:r>
      <w:r w:rsidRPr="00C4031D">
        <w:t xml:space="preserve"> </w:t>
      </w:r>
      <w:r w:rsidRPr="00C4031D">
        <w:rPr>
          <w:i/>
        </w:rPr>
        <w:t>Financial</w:t>
      </w:r>
      <w:r w:rsidRPr="00C4031D">
        <w:t xml:space="preserve"> </w:t>
      </w:r>
      <w:r w:rsidRPr="00C4031D">
        <w:rPr>
          <w:i/>
        </w:rPr>
        <w:t>Report</w:t>
      </w:r>
      <w:r w:rsidRPr="00C4031D">
        <w:t xml:space="preserve"> section of our report.  We are independent of the </w:t>
      </w:r>
      <w:r w:rsidR="00AE0F34" w:rsidRPr="00C4031D">
        <w:t xml:space="preserve">Entity </w:t>
      </w:r>
      <w:r w:rsidRPr="00C4031D">
        <w:t xml:space="preserve">in accordance with the ethical requirements of the Accounting Professional </w:t>
      </w:r>
      <w:r w:rsidR="00521E3C">
        <w:t>&amp;</w:t>
      </w:r>
      <w:r w:rsidR="00521E3C" w:rsidRPr="00C4031D">
        <w:t xml:space="preserve"> </w:t>
      </w:r>
      <w:r w:rsidRPr="00C4031D">
        <w:t>Ethical Standard</w:t>
      </w:r>
      <w:r w:rsidR="003220EE">
        <w:t>s Board’s APES </w:t>
      </w:r>
      <w:r w:rsidRPr="00C4031D">
        <w:t xml:space="preserve">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521E3C">
        <w:rPr>
          <w:i/>
        </w:rPr>
        <w:t xml:space="preserve"> </w:t>
      </w:r>
      <w:r w:rsidR="00521E3C" w:rsidRPr="00521E3C">
        <w:rPr>
          <w:i/>
        </w:rPr>
        <w:t>(including Independence Standards)</w:t>
      </w:r>
      <w:r w:rsidRPr="00C4031D">
        <w:t xml:space="preserve"> (the Code) that are relevant to our audit of the financial report in Australia.  We have also fulfilled our other ethical responsibilities in accordance with the Code.  </w:t>
      </w:r>
      <w:r w:rsidR="00034009" w:rsidRPr="00C4031D">
        <w:t>W</w:t>
      </w:r>
      <w:r w:rsidRPr="00C4031D">
        <w:t xml:space="preserve">e believe that the audit evidence we have obtained is sufficient and appropriate to provide </w:t>
      </w:r>
      <w:r w:rsidR="009E1B6B" w:rsidRPr="00C4031D">
        <w:t xml:space="preserve">a basis for our qualified </w:t>
      </w:r>
      <w:r w:rsidRPr="00C4031D">
        <w:t>opinion.</w:t>
      </w:r>
    </w:p>
    <w:p w14:paraId="3C8DD4FF" w14:textId="77777777" w:rsidR="000A082A" w:rsidRPr="00C4031D" w:rsidRDefault="000A082A" w:rsidP="007C1417">
      <w:pPr>
        <w:pStyle w:val="Heading8"/>
        <w:rPr>
          <w:b/>
        </w:rPr>
      </w:pPr>
      <w:r w:rsidRPr="00C4031D">
        <w:rPr>
          <w:b/>
        </w:rPr>
        <w:t>Other Information</w:t>
      </w:r>
      <w:r w:rsidR="007B2B06" w:rsidRPr="00C4031D">
        <w:rPr>
          <w:b/>
        </w:rPr>
        <w:t xml:space="preserve"> [or another title if appropriate such as “Information Other than the Financial Report and Auditor’s Report Thereon”]</w:t>
      </w:r>
    </w:p>
    <w:p w14:paraId="28310558" w14:textId="77777777" w:rsidR="000A082A" w:rsidRPr="00C4031D" w:rsidRDefault="000A082A" w:rsidP="00E27AF3">
      <w:pPr>
        <w:pStyle w:val="ParaLevel1"/>
        <w:numPr>
          <w:ilvl w:val="0"/>
          <w:numId w:val="0"/>
        </w:numPr>
        <w:rPr>
          <w:i/>
        </w:rPr>
      </w:pPr>
      <w:r w:rsidRPr="00C4031D">
        <w:t>[</w:t>
      </w:r>
      <w:r w:rsidRPr="00C4031D">
        <w:rPr>
          <w:i/>
        </w:rPr>
        <w:t xml:space="preserve">Reporting in accordance with </w:t>
      </w:r>
      <w:r w:rsidR="00E27AF3" w:rsidRPr="00C4031D">
        <w:rPr>
          <w:i/>
        </w:rPr>
        <w:t xml:space="preserve">the reporting requirements in </w:t>
      </w:r>
      <w:r w:rsidRPr="00C4031D">
        <w:rPr>
          <w:i/>
        </w:rPr>
        <w:t>ASA 720</w:t>
      </w:r>
      <w:r w:rsidR="00E27AF3" w:rsidRPr="00C4031D">
        <w:rPr>
          <w:i/>
        </w:rPr>
        <w:t xml:space="preserve"> – see [</w:t>
      </w:r>
      <w:proofErr w:type="spellStart"/>
      <w:r w:rsidR="00E27AF3" w:rsidRPr="00C4031D">
        <w:rPr>
          <w:i/>
        </w:rPr>
        <w:t>Aus</w:t>
      </w:r>
      <w:proofErr w:type="spellEnd"/>
      <w:r w:rsidR="00654834" w:rsidRPr="00C4031D">
        <w:rPr>
          <w:i/>
        </w:rPr>
        <w:t>]</w:t>
      </w:r>
      <w:r w:rsidR="003220EE">
        <w:rPr>
          <w:i/>
        </w:rPr>
        <w:t xml:space="preserve"> Illustration </w:t>
      </w:r>
      <w:r w:rsidR="00952CB5" w:rsidRPr="00C4031D">
        <w:rPr>
          <w:i/>
        </w:rPr>
        <w:t>6A</w:t>
      </w:r>
      <w:r w:rsidR="003220EE">
        <w:rPr>
          <w:i/>
        </w:rPr>
        <w:t xml:space="preserve"> in Appendix 3 of ASA </w:t>
      </w:r>
      <w:r w:rsidR="00E27AF3" w:rsidRPr="00C4031D">
        <w:rPr>
          <w:i/>
        </w:rPr>
        <w:t>720.</w:t>
      </w:r>
      <w:r w:rsidRPr="00C4031D">
        <w:rPr>
          <w:rStyle w:val="FootnoteReference"/>
          <w:i/>
        </w:rPr>
        <w:footnoteReference w:customMarkFollows="1" w:id="9"/>
        <w:t>#</w:t>
      </w:r>
      <w:r w:rsidRPr="00C4031D">
        <w:t>]</w:t>
      </w:r>
    </w:p>
    <w:p w14:paraId="7BA6B81D" w14:textId="77777777" w:rsidR="000F4660" w:rsidRPr="00C4031D" w:rsidRDefault="000F4660" w:rsidP="000F4660">
      <w:pPr>
        <w:pStyle w:val="Heading8"/>
        <w:rPr>
          <w:b/>
        </w:rPr>
      </w:pPr>
      <w:r w:rsidRPr="00C4031D">
        <w:rPr>
          <w:noProof/>
          <w:lang w:eastAsia="en-AU"/>
        </w:rPr>
        <w:drawing>
          <wp:anchor distT="0" distB="0" distL="114300" distR="114300" simplePos="0" relativeHeight="251659264" behindDoc="0" locked="0" layoutInCell="1" allowOverlap="1" wp14:anchorId="2CC304F1" wp14:editId="50A16B04">
            <wp:simplePos x="0" y="0"/>
            <wp:positionH relativeFrom="page">
              <wp:posOffset>-1371600</wp:posOffset>
            </wp:positionH>
            <wp:positionV relativeFrom="page">
              <wp:posOffset>8572500</wp:posOffset>
            </wp:positionV>
            <wp:extent cx="977900" cy="927100"/>
            <wp:effectExtent l="0" t="0" r="0" b="6350"/>
            <wp:wrapNone/>
            <wp:docPr id="2" name="Picture 2" descr="IFA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AC_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927100"/>
                    </a:xfrm>
                    <a:prstGeom prst="rect">
                      <a:avLst/>
                    </a:prstGeom>
                    <a:noFill/>
                  </pic:spPr>
                </pic:pic>
              </a:graphicData>
            </a:graphic>
            <wp14:sizeRelH relativeFrom="page">
              <wp14:pctWidth>0</wp14:pctWidth>
            </wp14:sizeRelH>
            <wp14:sizeRelV relativeFrom="page">
              <wp14:pctHeight>0</wp14:pctHeight>
            </wp14:sizeRelV>
          </wp:anchor>
        </w:drawing>
      </w:r>
      <w:r w:rsidRPr="00C4031D">
        <w:rPr>
          <w:noProof/>
          <w:lang w:eastAsia="en-AU"/>
        </w:rPr>
        <w:drawing>
          <wp:anchor distT="0" distB="0" distL="114300" distR="114300" simplePos="0" relativeHeight="251658240" behindDoc="0" locked="0" layoutInCell="1" allowOverlap="1" wp14:anchorId="5B934DA5" wp14:editId="3D16A0F0">
            <wp:simplePos x="0" y="0"/>
            <wp:positionH relativeFrom="page">
              <wp:posOffset>-1447800</wp:posOffset>
            </wp:positionH>
            <wp:positionV relativeFrom="page">
              <wp:posOffset>6515100</wp:posOffset>
            </wp:positionV>
            <wp:extent cx="977900" cy="927100"/>
            <wp:effectExtent l="0" t="0" r="0" b="6350"/>
            <wp:wrapNone/>
            <wp:docPr id="1" name="Picture 1" descr="IFA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AC_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927100"/>
                    </a:xfrm>
                    <a:prstGeom prst="rect">
                      <a:avLst/>
                    </a:prstGeom>
                    <a:noFill/>
                  </pic:spPr>
                </pic:pic>
              </a:graphicData>
            </a:graphic>
            <wp14:sizeRelH relativeFrom="page">
              <wp14:pctWidth>0</wp14:pctWidth>
            </wp14:sizeRelH>
            <wp14:sizeRelV relativeFrom="page">
              <wp14:pctHeight>0</wp14:pctHeight>
            </wp14:sizeRelV>
          </wp:anchor>
        </w:drawing>
      </w:r>
      <w:r w:rsidRPr="00C4031D">
        <w:rPr>
          <w:b/>
        </w:rPr>
        <w:t>Other Matter</w:t>
      </w:r>
    </w:p>
    <w:p w14:paraId="45F224C0" w14:textId="77777777" w:rsidR="000F4660" w:rsidRPr="00F91E4D" w:rsidRDefault="000F4660" w:rsidP="000F4660">
      <w:pPr>
        <w:pStyle w:val="ParaPlain"/>
      </w:pPr>
      <w:r w:rsidRPr="00C4031D">
        <w:t>The financial report of the Entity for the year ended 30 June 20X0 was audited by another auditor who expressed an unmodified opinion on the financial report on</w:t>
      </w:r>
      <w:r w:rsidRPr="00C4031D" w:rsidDel="00BE7ED0">
        <w:t xml:space="preserve"> </w:t>
      </w:r>
      <w:r w:rsidRPr="00C4031D">
        <w:t>30 September 20X0.</w:t>
      </w:r>
    </w:p>
    <w:p w14:paraId="7578A919" w14:textId="77777777" w:rsidR="0049402A" w:rsidRPr="00C4031D" w:rsidRDefault="00614B2C" w:rsidP="007C1417">
      <w:pPr>
        <w:pStyle w:val="Heading8"/>
      </w:pPr>
      <w:r w:rsidRPr="00C4031D">
        <w:rPr>
          <w:b/>
        </w:rPr>
        <w:lastRenderedPageBreak/>
        <w:t>Responsibilities of</w:t>
      </w:r>
      <w:r w:rsidR="00BD0BB3" w:rsidRPr="00C4031D">
        <w:rPr>
          <w:b/>
        </w:rPr>
        <w:t xml:space="preserve"> </w:t>
      </w:r>
      <w:r w:rsidR="0049402A" w:rsidRPr="00C4031D">
        <w:rPr>
          <w:b/>
        </w:rPr>
        <w:t xml:space="preserve">Management </w:t>
      </w:r>
      <w:r w:rsidRPr="00C4031D">
        <w:rPr>
          <w:b/>
        </w:rPr>
        <w:t>and Those Charged with Governance</w:t>
      </w:r>
      <w:r w:rsidR="0049402A" w:rsidRPr="00C4031D">
        <w:rPr>
          <w:b/>
        </w:rPr>
        <w:t xml:space="preserve"> for the Financial Report</w:t>
      </w:r>
      <w:r w:rsidR="0060341E" w:rsidRPr="00C4031D">
        <w:rPr>
          <w:rStyle w:val="FootnoteReference"/>
        </w:rPr>
        <w:footnoteReference w:id="10"/>
      </w:r>
    </w:p>
    <w:p w14:paraId="30FC0BA2" w14:textId="77777777" w:rsidR="0049402A" w:rsidRPr="00C4031D" w:rsidRDefault="000E3E96" w:rsidP="0049402A">
      <w:pPr>
        <w:pStyle w:val="ParaPlain"/>
      </w:pPr>
      <w:r w:rsidRPr="00C4031D">
        <w:t>[</w:t>
      </w:r>
      <w:r w:rsidRPr="00C4031D">
        <w:rPr>
          <w:i/>
        </w:rPr>
        <w:t>Reporting in accordance with ASA 700 – see [</w:t>
      </w:r>
      <w:proofErr w:type="spellStart"/>
      <w:r w:rsidRPr="00C4031D">
        <w:rPr>
          <w:i/>
        </w:rPr>
        <w:t>Aus</w:t>
      </w:r>
      <w:proofErr w:type="spellEnd"/>
      <w:r w:rsidRPr="00C4031D">
        <w:rPr>
          <w:i/>
        </w:rPr>
        <w:t xml:space="preserve">] Illustration 1A in </w:t>
      </w:r>
      <w:r w:rsidR="00B16619" w:rsidRPr="00C4031D">
        <w:rPr>
          <w:i/>
        </w:rPr>
        <w:t>the A</w:t>
      </w:r>
      <w:r w:rsidR="009E1B6B" w:rsidRPr="00C4031D">
        <w:rPr>
          <w:i/>
        </w:rPr>
        <w:t xml:space="preserve">ppendix of </w:t>
      </w:r>
      <w:r w:rsidRPr="00C4031D">
        <w:rPr>
          <w:i/>
        </w:rPr>
        <w:t>ASA 700</w:t>
      </w:r>
      <w:r w:rsidRPr="00C4031D">
        <w:t xml:space="preserve">.] </w:t>
      </w:r>
    </w:p>
    <w:p w14:paraId="505720E4" w14:textId="77777777" w:rsidR="0049402A" w:rsidRPr="00C4031D" w:rsidRDefault="0049402A" w:rsidP="007C1417">
      <w:pPr>
        <w:pStyle w:val="Heading8"/>
        <w:rPr>
          <w:b/>
        </w:rPr>
      </w:pPr>
      <w:r w:rsidRPr="00C4031D">
        <w:rPr>
          <w:b/>
        </w:rPr>
        <w:t>Auditor’s Responsibilit</w:t>
      </w:r>
      <w:r w:rsidR="000E3E96" w:rsidRPr="00C4031D">
        <w:rPr>
          <w:b/>
        </w:rPr>
        <w:t>ies for the Audit of the Financial Report</w:t>
      </w:r>
    </w:p>
    <w:p w14:paraId="399598E7" w14:textId="77777777" w:rsidR="0049402A" w:rsidRPr="00C4031D" w:rsidRDefault="000E3E96" w:rsidP="0049402A">
      <w:pPr>
        <w:pStyle w:val="ParaPlain"/>
      </w:pPr>
      <w:r w:rsidRPr="00C4031D">
        <w:t>[</w:t>
      </w:r>
      <w:r w:rsidRPr="00C4031D">
        <w:rPr>
          <w:i/>
        </w:rPr>
        <w:t>Reporting in accordance with ASA 700 – see [</w:t>
      </w:r>
      <w:proofErr w:type="spellStart"/>
      <w:r w:rsidRPr="00C4031D">
        <w:rPr>
          <w:i/>
        </w:rPr>
        <w:t>Aus</w:t>
      </w:r>
      <w:proofErr w:type="spellEnd"/>
      <w:r w:rsidRPr="00C4031D">
        <w:rPr>
          <w:i/>
        </w:rPr>
        <w:t xml:space="preserve">] Illustration 1A in </w:t>
      </w:r>
      <w:r w:rsidR="00B16619" w:rsidRPr="00C4031D">
        <w:rPr>
          <w:i/>
        </w:rPr>
        <w:t xml:space="preserve">the </w:t>
      </w:r>
      <w:r w:rsidR="009E1B6B" w:rsidRPr="00C4031D">
        <w:rPr>
          <w:i/>
        </w:rPr>
        <w:t xml:space="preserve">Appendix of </w:t>
      </w:r>
      <w:r w:rsidRPr="00C4031D">
        <w:rPr>
          <w:i/>
        </w:rPr>
        <w:t>ASA 700</w:t>
      </w:r>
      <w:r w:rsidRPr="00C4031D">
        <w:t xml:space="preserve">.] </w:t>
      </w:r>
    </w:p>
    <w:p w14:paraId="3B17BA19" w14:textId="77777777" w:rsidR="0049402A" w:rsidRPr="00C4031D" w:rsidRDefault="0049402A" w:rsidP="001E0633">
      <w:pPr>
        <w:pStyle w:val="Heading8"/>
        <w:rPr>
          <w:b/>
        </w:rPr>
      </w:pPr>
      <w:r w:rsidRPr="00C4031D">
        <w:rPr>
          <w:b/>
        </w:rPr>
        <w:t>Report on Other Legal and Regulatory Requirements</w:t>
      </w:r>
    </w:p>
    <w:p w14:paraId="184B254E" w14:textId="77777777" w:rsidR="0049402A" w:rsidRPr="00C4031D" w:rsidRDefault="0049402A" w:rsidP="0049402A">
      <w:pPr>
        <w:pStyle w:val="ParaPlain"/>
      </w:pPr>
      <w:r w:rsidRPr="00C4031D">
        <w:t>[</w:t>
      </w:r>
      <w:r w:rsidR="000E3E96" w:rsidRPr="00C4031D">
        <w:rPr>
          <w:i/>
        </w:rPr>
        <w:t>Reporting in accordance with AS</w:t>
      </w:r>
      <w:r w:rsidR="006B1ADE" w:rsidRPr="00C4031D">
        <w:rPr>
          <w:i/>
        </w:rPr>
        <w:t>A</w:t>
      </w:r>
      <w:r w:rsidR="000E3E96" w:rsidRPr="00C4031D">
        <w:rPr>
          <w:i/>
        </w:rPr>
        <w:t xml:space="preserve"> 700 – see [</w:t>
      </w:r>
      <w:proofErr w:type="spellStart"/>
      <w:r w:rsidR="000E3E96" w:rsidRPr="00C4031D">
        <w:rPr>
          <w:i/>
        </w:rPr>
        <w:t>Aus</w:t>
      </w:r>
      <w:proofErr w:type="spellEnd"/>
      <w:r w:rsidR="000E3E96" w:rsidRPr="00C4031D">
        <w:rPr>
          <w:i/>
        </w:rPr>
        <w:t xml:space="preserve">] Illustration 1A in </w:t>
      </w:r>
      <w:r w:rsidR="00B16619" w:rsidRPr="00C4031D">
        <w:rPr>
          <w:i/>
        </w:rPr>
        <w:t xml:space="preserve">the </w:t>
      </w:r>
      <w:r w:rsidR="009E1B6B" w:rsidRPr="00C4031D">
        <w:rPr>
          <w:i/>
        </w:rPr>
        <w:t xml:space="preserve">Appendix of </w:t>
      </w:r>
      <w:r w:rsidR="000E3E96" w:rsidRPr="00C4031D">
        <w:rPr>
          <w:i/>
        </w:rPr>
        <w:t>ASA 700</w:t>
      </w:r>
      <w:r w:rsidRPr="00C4031D">
        <w:t>.]</w:t>
      </w:r>
    </w:p>
    <w:p w14:paraId="15E2DB1C" w14:textId="77777777" w:rsidR="0049402A" w:rsidRPr="00C4031D" w:rsidRDefault="0049402A" w:rsidP="001E0633">
      <w:pPr>
        <w:pStyle w:val="ParaPlain"/>
        <w:spacing w:before="240"/>
      </w:pPr>
      <w:r w:rsidRPr="00C4031D">
        <w:t>[</w:t>
      </w:r>
      <w:r w:rsidR="000E3E96" w:rsidRPr="00C4031D">
        <w:rPr>
          <w:i/>
        </w:rPr>
        <w:t>S</w:t>
      </w:r>
      <w:r w:rsidRPr="00C4031D">
        <w:rPr>
          <w:i/>
        </w:rPr>
        <w:t>ignature</w:t>
      </w:r>
      <w:r w:rsidRPr="00C4031D">
        <w:t>]</w:t>
      </w:r>
      <w:r w:rsidRPr="00C4031D">
        <w:rPr>
          <w:rStyle w:val="FootnoteReference"/>
        </w:rPr>
        <w:footnoteReference w:customMarkFollows="1" w:id="11"/>
        <w:sym w:font="Symbol" w:char="F02A"/>
      </w:r>
    </w:p>
    <w:p w14:paraId="3AFC765F" w14:textId="77777777" w:rsidR="0049402A" w:rsidRPr="00F91E4D" w:rsidRDefault="0049402A" w:rsidP="0049402A">
      <w:pPr>
        <w:pStyle w:val="ParaPlain"/>
      </w:pPr>
      <w:r w:rsidRPr="00C4031D">
        <w:t>[</w:t>
      </w:r>
      <w:r w:rsidRPr="00C4031D">
        <w:rPr>
          <w:i/>
        </w:rPr>
        <w:t>Date of the auditor’s report</w:t>
      </w:r>
      <w:r w:rsidRPr="00C4031D">
        <w:t>]</w:t>
      </w:r>
      <w:r w:rsidRPr="00C4031D">
        <w:rPr>
          <w:rStyle w:val="FootnoteReference"/>
        </w:rPr>
        <w:footnoteReference w:customMarkFollows="1" w:id="12"/>
        <w:sym w:font="Symbol" w:char="F023"/>
      </w:r>
    </w:p>
    <w:p w14:paraId="0255F302" w14:textId="77777777" w:rsidR="0049402A" w:rsidRPr="00F91E4D" w:rsidRDefault="0049402A" w:rsidP="0049402A">
      <w:pPr>
        <w:pStyle w:val="ParaPlain"/>
      </w:pPr>
      <w:r w:rsidRPr="00F91E4D">
        <w:t>[</w:t>
      </w:r>
      <w:r w:rsidRPr="007C1417">
        <w:rPr>
          <w:i/>
        </w:rPr>
        <w:t>Auditor’s address</w:t>
      </w:r>
      <w:r w:rsidRPr="00F91E4D">
        <w:t>]</w:t>
      </w:r>
    </w:p>
    <w:p w14:paraId="365834B2" w14:textId="77777777" w:rsidR="0049402A" w:rsidRPr="007C1417" w:rsidRDefault="0049402A" w:rsidP="007C1417">
      <w:pPr>
        <w:pStyle w:val="Heading8"/>
        <w:jc w:val="center"/>
        <w:rPr>
          <w:b/>
          <w:sz w:val="26"/>
          <w:szCs w:val="26"/>
        </w:rPr>
      </w:pPr>
      <w:r w:rsidRPr="00F91E4D">
        <w:br w:type="page"/>
      </w:r>
      <w:r w:rsidRPr="007C1417">
        <w:rPr>
          <w:b/>
          <w:sz w:val="26"/>
          <w:szCs w:val="26"/>
        </w:rPr>
        <w:lastRenderedPageBreak/>
        <w:t xml:space="preserve">Example Auditor’s Report </w:t>
      </w:r>
      <w:r w:rsidRPr="007C1417">
        <w:rPr>
          <w:b/>
          <w:sz w:val="26"/>
          <w:szCs w:val="26"/>
        </w:rPr>
        <w:br/>
        <w:t>An Opinion that is Qualified Regarding the Financial Performance and Cash Flows and Unmodified Regarding Financial Position</w:t>
      </w:r>
    </w:p>
    <w:p w14:paraId="70EA6781" w14:textId="77777777" w:rsidR="0049402A" w:rsidRPr="007C1417" w:rsidRDefault="0049402A" w:rsidP="0049402A">
      <w:pPr>
        <w:pStyle w:val="ParaPlain"/>
      </w:pPr>
      <w:r w:rsidRPr="007C1417">
        <w:t xml:space="preserve">Illustration 2: </w:t>
      </w:r>
    </w:p>
    <w:p w14:paraId="6B91C4B5" w14:textId="77777777" w:rsidR="0049402A" w:rsidRPr="00F91E4D" w:rsidRDefault="0049402A" w:rsidP="0049402A">
      <w:pPr>
        <w:pStyle w:val="ListBullet"/>
        <w:ind w:left="567" w:hanging="567"/>
      </w:pPr>
      <w:r w:rsidRPr="00F91E4D">
        <w:t>[Example Auditor’s Report deleted by the AUASB</w:t>
      </w:r>
      <w:r w:rsidR="001E0633">
        <w:t>]</w:t>
      </w:r>
      <w:r w:rsidRPr="00F91E4D">
        <w:t>—not applicable in Australia.</w:t>
      </w:r>
      <w:r>
        <w:t xml:space="preserve">  </w:t>
      </w:r>
    </w:p>
    <w:p w14:paraId="523455E7" w14:textId="77777777" w:rsidR="0049402A" w:rsidRPr="00F91E4D" w:rsidRDefault="0049402A" w:rsidP="0049402A">
      <w:pPr>
        <w:pStyle w:val="ListBullet"/>
        <w:ind w:left="567" w:hanging="567"/>
      </w:pPr>
      <w:r w:rsidRPr="00F91E4D">
        <w:t>Refer ASA</w:t>
      </w:r>
      <w:r>
        <w:t> </w:t>
      </w:r>
      <w:r w:rsidRPr="00F91E4D">
        <w:t xml:space="preserve">200 </w:t>
      </w:r>
      <w:r w:rsidRPr="0049402A">
        <w:rPr>
          <w:i/>
        </w:rPr>
        <w:t>Overall</w:t>
      </w:r>
      <w:r w:rsidRPr="00F91E4D">
        <w:t xml:space="preserve"> </w:t>
      </w:r>
      <w:r w:rsidRPr="0049402A">
        <w:rPr>
          <w:i/>
        </w:rPr>
        <w:t>Objectives</w:t>
      </w:r>
      <w:r w:rsidRPr="00F91E4D">
        <w:t xml:space="preserve"> </w:t>
      </w:r>
      <w:r w:rsidRPr="0049402A">
        <w:rPr>
          <w:i/>
        </w:rPr>
        <w:t>of</w:t>
      </w:r>
      <w:r w:rsidRPr="00F91E4D">
        <w:t xml:space="preserve"> </w:t>
      </w:r>
      <w:r w:rsidRPr="0049402A">
        <w:rPr>
          <w:i/>
        </w:rPr>
        <w:t>the</w:t>
      </w:r>
      <w:r w:rsidRPr="00F91E4D">
        <w:t xml:space="preserve"> </w:t>
      </w:r>
      <w:r w:rsidRPr="0049402A">
        <w:rPr>
          <w:i/>
        </w:rPr>
        <w:t>Independent</w:t>
      </w:r>
      <w:r w:rsidRPr="00F91E4D">
        <w:t xml:space="preserve"> </w:t>
      </w:r>
      <w:r w:rsidRPr="0049402A">
        <w:rPr>
          <w:i/>
        </w:rPr>
        <w:t>Auditor</w:t>
      </w:r>
      <w:r w:rsidRPr="00F91E4D">
        <w:t xml:space="preserve"> </w:t>
      </w:r>
      <w:r w:rsidRPr="0049402A">
        <w:rPr>
          <w:i/>
        </w:rPr>
        <w:t>and</w:t>
      </w:r>
      <w:r w:rsidRPr="00F91E4D">
        <w:t xml:space="preserve"> </w:t>
      </w:r>
      <w:r w:rsidRPr="0049402A">
        <w:rPr>
          <w:i/>
        </w:rPr>
        <w:t>the</w:t>
      </w:r>
      <w:r w:rsidRPr="00F91E4D">
        <w:t xml:space="preserve"> </w:t>
      </w:r>
      <w:r w:rsidRPr="0049402A">
        <w:rPr>
          <w:i/>
        </w:rPr>
        <w:t>Conduct</w:t>
      </w:r>
      <w:r w:rsidRPr="00F91E4D">
        <w:t xml:space="preserve"> </w:t>
      </w:r>
      <w:r w:rsidRPr="0049402A">
        <w:rPr>
          <w:i/>
        </w:rPr>
        <w:t>of</w:t>
      </w:r>
      <w:r w:rsidRPr="00F91E4D">
        <w:t xml:space="preserve"> </w:t>
      </w:r>
      <w:r w:rsidRPr="0049402A">
        <w:rPr>
          <w:i/>
        </w:rPr>
        <w:t>an</w:t>
      </w:r>
      <w:r w:rsidRPr="00F91E4D">
        <w:t xml:space="preserve"> </w:t>
      </w:r>
      <w:r w:rsidRPr="0049402A">
        <w:rPr>
          <w:i/>
        </w:rPr>
        <w:t>Audit</w:t>
      </w:r>
      <w:r w:rsidRPr="00F91E4D">
        <w:t xml:space="preserve"> </w:t>
      </w:r>
      <w:r w:rsidRPr="0049402A">
        <w:rPr>
          <w:i/>
        </w:rPr>
        <w:t>in</w:t>
      </w:r>
      <w:r w:rsidRPr="00F91E4D">
        <w:t xml:space="preserve"> </w:t>
      </w:r>
      <w:r w:rsidRPr="0049402A">
        <w:rPr>
          <w:i/>
        </w:rPr>
        <w:t>Accordance</w:t>
      </w:r>
      <w:r w:rsidRPr="00F91E4D">
        <w:t xml:space="preserve"> </w:t>
      </w:r>
      <w:r w:rsidRPr="0049402A">
        <w:rPr>
          <w:i/>
        </w:rPr>
        <w:t>with</w:t>
      </w:r>
      <w:r w:rsidRPr="00F91E4D">
        <w:t xml:space="preserve"> </w:t>
      </w:r>
      <w:r w:rsidRPr="0049402A">
        <w:rPr>
          <w:i/>
        </w:rPr>
        <w:t>Australian</w:t>
      </w:r>
      <w:r w:rsidRPr="00F91E4D">
        <w:t xml:space="preserve"> </w:t>
      </w:r>
      <w:r w:rsidRPr="0049402A">
        <w:rPr>
          <w:i/>
        </w:rPr>
        <w:t>Auditing</w:t>
      </w:r>
      <w:r w:rsidRPr="00F91E4D">
        <w:t xml:space="preserve"> </w:t>
      </w:r>
      <w:r w:rsidRPr="0049402A">
        <w:rPr>
          <w:i/>
        </w:rPr>
        <w:t>Standards</w:t>
      </w:r>
      <w:r w:rsidRPr="00F91E4D">
        <w:t>, paragraph</w:t>
      </w:r>
      <w:r>
        <w:t> </w:t>
      </w:r>
      <w:r w:rsidRPr="00F91E4D">
        <w:t>11(a).</w:t>
      </w:r>
      <w:r>
        <w:t xml:space="preserve">  </w:t>
      </w:r>
    </w:p>
    <w:p w14:paraId="3CD06C64" w14:textId="77777777" w:rsidR="0049402A" w:rsidRDefault="0049402A" w:rsidP="0049402A">
      <w:pPr>
        <w:pStyle w:val="ListBullet"/>
        <w:ind w:left="567" w:hanging="567"/>
      </w:pPr>
      <w:r w:rsidRPr="00F91E4D">
        <w:t xml:space="preserve">The </w:t>
      </w:r>
      <w:r w:rsidRPr="0049402A">
        <w:rPr>
          <w:i/>
        </w:rPr>
        <w:t>Corporation</w:t>
      </w:r>
      <w:r w:rsidRPr="00F91E4D">
        <w:t xml:space="preserve"> </w:t>
      </w:r>
      <w:r w:rsidRPr="0049402A">
        <w:rPr>
          <w:i/>
        </w:rPr>
        <w:t>Act</w:t>
      </w:r>
      <w:r>
        <w:rPr>
          <w:i/>
        </w:rPr>
        <w:t> </w:t>
      </w:r>
      <w:r w:rsidRPr="0049402A">
        <w:rPr>
          <w:i/>
        </w:rPr>
        <w:t>2001</w:t>
      </w:r>
      <w:r w:rsidRPr="00F91E4D">
        <w:t xml:space="preserve"> does </w:t>
      </w:r>
      <w:r w:rsidR="002C67E0">
        <w:t>not provide for split opinions.</w:t>
      </w:r>
      <w:r w:rsidR="00351FA3">
        <w:rPr>
          <w:rStyle w:val="FootnoteReference"/>
        </w:rPr>
        <w:footnoteReference w:customMarkFollows="1" w:id="13"/>
        <w:t>*</w:t>
      </w:r>
    </w:p>
    <w:p w14:paraId="22DAFA44" w14:textId="77777777" w:rsidR="00B603A9" w:rsidRDefault="0049402A" w:rsidP="00B603A9">
      <w:pPr>
        <w:pStyle w:val="Heading8"/>
        <w:spacing w:after="0"/>
        <w:jc w:val="center"/>
        <w:rPr>
          <w:b/>
          <w:i/>
          <w:sz w:val="26"/>
          <w:szCs w:val="26"/>
        </w:rPr>
      </w:pPr>
      <w:r>
        <w:br w:type="page"/>
      </w:r>
      <w:r w:rsidRPr="007C1417">
        <w:rPr>
          <w:b/>
          <w:sz w:val="26"/>
          <w:szCs w:val="26"/>
        </w:rPr>
        <w:lastRenderedPageBreak/>
        <w:t xml:space="preserve">Example Auditor’s Report </w:t>
      </w:r>
      <w:r w:rsidRPr="007C1417">
        <w:rPr>
          <w:b/>
          <w:sz w:val="26"/>
          <w:szCs w:val="26"/>
        </w:rPr>
        <w:br/>
        <w:t>Qualified Opinion—Jurisdiction Prohibits a Qualified Opinion on Performance and Cash Flows and an Unmodified Opinion on Financial Position</w:t>
      </w:r>
      <w:r w:rsidRPr="007C1417">
        <w:rPr>
          <w:b/>
          <w:sz w:val="26"/>
          <w:szCs w:val="26"/>
        </w:rPr>
        <w:br/>
      </w:r>
      <w:r w:rsidR="00614B2C" w:rsidRPr="007C1417">
        <w:rPr>
          <w:b/>
          <w:i/>
          <w:sz w:val="26"/>
          <w:szCs w:val="26"/>
        </w:rPr>
        <w:t>Corporations Act 2001</w:t>
      </w:r>
      <w:r w:rsidR="00B603A9">
        <w:rPr>
          <w:b/>
          <w:i/>
          <w:sz w:val="26"/>
          <w:szCs w:val="26"/>
        </w:rPr>
        <w:t xml:space="preserve"> </w:t>
      </w:r>
    </w:p>
    <w:p w14:paraId="45BFD68C" w14:textId="77777777" w:rsidR="0049402A" w:rsidRPr="007C1417" w:rsidRDefault="00B603A9" w:rsidP="007C1417">
      <w:pPr>
        <w:pStyle w:val="Heading8"/>
        <w:jc w:val="center"/>
        <w:rPr>
          <w:b/>
          <w:sz w:val="26"/>
          <w:szCs w:val="26"/>
        </w:rPr>
      </w:pPr>
      <w:r w:rsidRPr="00B603A9">
        <w:rPr>
          <w:b/>
          <w:sz w:val="26"/>
          <w:szCs w:val="26"/>
        </w:rPr>
        <w:t>(Fair Presentation Framework)</w:t>
      </w:r>
    </w:p>
    <w:p w14:paraId="6B969C83" w14:textId="77777777" w:rsidR="0049402A" w:rsidRPr="007C1417" w:rsidRDefault="0049402A" w:rsidP="00694E66">
      <w:pPr>
        <w:pStyle w:val="ParaPlain"/>
        <w:pBdr>
          <w:top w:val="single" w:sz="4" w:space="1" w:color="auto"/>
          <w:left w:val="single" w:sz="4" w:space="4" w:color="auto"/>
          <w:bottom w:val="single" w:sz="4" w:space="1" w:color="auto"/>
          <w:right w:val="single" w:sz="4" w:space="4" w:color="auto"/>
        </w:pBdr>
      </w:pPr>
      <w:r w:rsidRPr="007C1417">
        <w:t>[</w:t>
      </w:r>
      <w:proofErr w:type="spellStart"/>
      <w:r w:rsidRPr="007C1417">
        <w:t>Aus</w:t>
      </w:r>
      <w:proofErr w:type="spellEnd"/>
      <w:r w:rsidRPr="007C1417">
        <w:t xml:space="preserve">] Illustration 2A: </w:t>
      </w:r>
    </w:p>
    <w:p w14:paraId="0BFF3DC3" w14:textId="77777777" w:rsidR="0049402A" w:rsidRPr="00C4031D" w:rsidRDefault="00D51345" w:rsidP="00694E66">
      <w:pPr>
        <w:pStyle w:val="ParaPlain"/>
        <w:pBdr>
          <w:top w:val="single" w:sz="4" w:space="1" w:color="auto"/>
          <w:left w:val="single" w:sz="4" w:space="4" w:color="auto"/>
          <w:bottom w:val="single" w:sz="4" w:space="1" w:color="auto"/>
          <w:right w:val="single" w:sz="4" w:space="4" w:color="auto"/>
        </w:pBdr>
      </w:pPr>
      <w:r w:rsidRPr="00C4031D">
        <w:t>For purposes of this illustrative auditor’s report, the following c</w:t>
      </w:r>
      <w:r w:rsidR="0049402A" w:rsidRPr="00C4031D">
        <w:t xml:space="preserve">ircumstances </w:t>
      </w:r>
      <w:r w:rsidRPr="00C4031D">
        <w:t>are assumed</w:t>
      </w:r>
      <w:r w:rsidR="0049402A" w:rsidRPr="00C4031D">
        <w:t>:</w:t>
      </w:r>
    </w:p>
    <w:p w14:paraId="59F1122B"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Audit of </w:t>
      </w:r>
      <w:r w:rsidR="00B603A9" w:rsidRPr="00C4031D">
        <w:t xml:space="preserve">the </w:t>
      </w:r>
      <w:r w:rsidRPr="00C4031D">
        <w:t xml:space="preserve">financial report of a single listed </w:t>
      </w:r>
      <w:r w:rsidR="002C67E0" w:rsidRPr="00C4031D">
        <w:t>company</w:t>
      </w:r>
      <w:r w:rsidRPr="00C4031D">
        <w:t>.  The audit is not a group audit (i.e., ASA 600</w:t>
      </w:r>
      <w:r w:rsidRPr="00C4031D">
        <w:rPr>
          <w:rStyle w:val="FootnoteReference"/>
        </w:rPr>
        <w:footnoteReference w:id="14"/>
      </w:r>
      <w:r w:rsidRPr="00C4031D">
        <w:t xml:space="preserve"> does not apply).</w:t>
      </w:r>
    </w:p>
    <w:p w14:paraId="1052DB88"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The financial report is prepared by the directors of the </w:t>
      </w:r>
      <w:r w:rsidR="002C67E0" w:rsidRPr="00C4031D">
        <w:t>company</w:t>
      </w:r>
      <w:r w:rsidRPr="00C4031D">
        <w:t xml:space="preserve"> in accordance with Australian Accounting Standards (a general purpose framework) and under the </w:t>
      </w:r>
      <w:r w:rsidR="00C976E8">
        <w:rPr>
          <w:i/>
        </w:rPr>
        <w:t>Corporations Act </w:t>
      </w:r>
      <w:r w:rsidRPr="00C4031D">
        <w:rPr>
          <w:i/>
        </w:rPr>
        <w:t>2001</w:t>
      </w:r>
      <w:r w:rsidRPr="00C4031D">
        <w:t>.</w:t>
      </w:r>
    </w:p>
    <w:p w14:paraId="55BCB710"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The terms of the audit engagement reflect the description of the directors responsibility for the financial report in ASA 210.</w:t>
      </w:r>
      <w:r w:rsidRPr="00C4031D">
        <w:rPr>
          <w:rStyle w:val="FootnoteReference"/>
        </w:rPr>
        <w:footnoteReference w:id="15"/>
      </w:r>
    </w:p>
    <w:p w14:paraId="43C7C5AB" w14:textId="77777777" w:rsidR="0049402A" w:rsidRPr="007C1417"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C4031D">
        <w:t>The auditor did not observe the counting of the</w:t>
      </w:r>
      <w:r w:rsidRPr="007C1417">
        <w:t xml:space="preserve"> physical inventory at the beginning of the current period and was unable to obtain sufficient appropriate audit evidence regarding the opening balances of inventory.</w:t>
      </w:r>
    </w:p>
    <w:p w14:paraId="61F6F754" w14:textId="77777777" w:rsidR="0049402A" w:rsidRPr="007C1417"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7C1417">
        <w:t xml:space="preserve">The possible effects of the inability to obtain sufficient appropriate audit evidence regarding opening balances of inventory are deemed to be material but not pervasive to the entity’s financial performance and cash flows.  </w:t>
      </w:r>
    </w:p>
    <w:p w14:paraId="5A7B32EC" w14:textId="77777777" w:rsidR="0049402A" w:rsidRPr="007C1417"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7C1417">
        <w:t>The financial position at year end is fairly presented.</w:t>
      </w:r>
    </w:p>
    <w:p w14:paraId="435D66AB" w14:textId="77777777" w:rsidR="0049402A" w:rsidRPr="00C4031D" w:rsidRDefault="0049402A" w:rsidP="00694E66">
      <w:pPr>
        <w:pStyle w:val="ListBullet"/>
        <w:pBdr>
          <w:top w:val="single" w:sz="4" w:space="1" w:color="auto"/>
          <w:left w:val="single" w:sz="4" w:space="4" w:color="auto"/>
          <w:bottom w:val="single" w:sz="4" w:space="1" w:color="auto"/>
          <w:right w:val="single" w:sz="4" w:space="4" w:color="auto"/>
        </w:pBdr>
        <w:ind w:left="567" w:hanging="567"/>
      </w:pPr>
      <w:r w:rsidRPr="007C1417">
        <w:t xml:space="preserve">In this jurisdiction, law and regulation prohibit the auditor from giving an opinion which is qualified regarding the financial performance and cash flows and unmodified regarding </w:t>
      </w:r>
      <w:r w:rsidRPr="00C4031D">
        <w:t>financial position.</w:t>
      </w:r>
    </w:p>
    <w:p w14:paraId="71388D47" w14:textId="72C34A75"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The relevant ethical requirements that apply to the audit are the Accounting Professional </w:t>
      </w:r>
      <w:r w:rsidR="00521E3C">
        <w:t xml:space="preserve">&amp; </w:t>
      </w:r>
      <w:r w:rsidR="00C976E8">
        <w:t>Ethical Standards Board’s APES </w:t>
      </w:r>
      <w:r w:rsidRPr="00C4031D">
        <w:t xml:space="preserve">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521E3C">
        <w:rPr>
          <w:i/>
        </w:rPr>
        <w:t xml:space="preserve"> </w:t>
      </w:r>
      <w:r w:rsidR="00521E3C" w:rsidRPr="00521E3C">
        <w:rPr>
          <w:i/>
        </w:rPr>
        <w:t>(including Independence Standards)</w:t>
      </w:r>
      <w:r w:rsidRPr="00C4031D">
        <w:t>.</w:t>
      </w:r>
    </w:p>
    <w:p w14:paraId="2190D0DC"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Based on the audit evidence obtained, the auditor has concluded that a material uncertainty does not exist related to events or conditions that may cast significant doubt on the </w:t>
      </w:r>
      <w:r w:rsidR="00DB1B79" w:rsidRPr="00C4031D">
        <w:t>company</w:t>
      </w:r>
      <w:r w:rsidRPr="00C4031D">
        <w:t>’s ability to continue as a going concern in accordance with ASA 570.</w:t>
      </w:r>
      <w:r w:rsidRPr="00C4031D">
        <w:rPr>
          <w:rStyle w:val="FootnoteReference"/>
        </w:rPr>
        <w:footnoteReference w:id="16"/>
      </w:r>
      <w:r w:rsidRPr="00C4031D">
        <w:t xml:space="preserve"> </w:t>
      </w:r>
    </w:p>
    <w:p w14:paraId="4BA94955" w14:textId="77777777" w:rsidR="00D51345" w:rsidRPr="00C4031D" w:rsidRDefault="002F0724" w:rsidP="00694E66">
      <w:pPr>
        <w:pStyle w:val="ListBullet"/>
        <w:pBdr>
          <w:top w:val="single" w:sz="4" w:space="1" w:color="auto"/>
          <w:left w:val="single" w:sz="4" w:space="4" w:color="auto"/>
          <w:bottom w:val="single" w:sz="4" w:space="1" w:color="auto"/>
          <w:right w:val="single" w:sz="4" w:space="4" w:color="auto"/>
        </w:pBdr>
        <w:ind w:left="567" w:hanging="567"/>
      </w:pPr>
      <w:r w:rsidRPr="00C4031D">
        <w:t xml:space="preserve">Key audit matters have been communicated in accordance with </w:t>
      </w:r>
      <w:r w:rsidR="00D51345" w:rsidRPr="00C4031D">
        <w:t>ASA 701.</w:t>
      </w:r>
      <w:r w:rsidR="00D51345" w:rsidRPr="00C4031D">
        <w:rPr>
          <w:rStyle w:val="FootnoteReference"/>
        </w:rPr>
        <w:footnoteReference w:id="17"/>
      </w:r>
    </w:p>
    <w:p w14:paraId="386F31AC" w14:textId="77777777" w:rsidR="00D51345" w:rsidRPr="00C4031D" w:rsidRDefault="00D51345" w:rsidP="00694E66">
      <w:pPr>
        <w:pStyle w:val="ListBullet"/>
        <w:pBdr>
          <w:top w:val="single" w:sz="4" w:space="1" w:color="auto"/>
          <w:left w:val="single" w:sz="4" w:space="4" w:color="auto"/>
          <w:bottom w:val="single" w:sz="4" w:space="1" w:color="auto"/>
          <w:right w:val="single" w:sz="4" w:space="4" w:color="auto"/>
        </w:pBdr>
        <w:ind w:left="567" w:hanging="567"/>
      </w:pPr>
      <w:r w:rsidRPr="00C4031D">
        <w:t>Corresponding figures are presented, and the prior period’s financial report was audited by a predecessor auditor.  The auditor is not prohibited by law or regulation from referring to the predecessor auditor’s report on the corresponding figures and has decided to do so.</w:t>
      </w:r>
    </w:p>
    <w:p w14:paraId="1CD16DA0" w14:textId="77777777" w:rsidR="00CB4915" w:rsidRPr="00C4031D" w:rsidRDefault="00CB4915" w:rsidP="00694E66">
      <w:pPr>
        <w:pStyle w:val="ListBullet"/>
        <w:pBdr>
          <w:top w:val="single" w:sz="4" w:space="1" w:color="auto"/>
          <w:left w:val="single" w:sz="4" w:space="4" w:color="auto"/>
          <w:bottom w:val="single" w:sz="4" w:space="1" w:color="auto"/>
          <w:right w:val="single" w:sz="4" w:space="4" w:color="auto"/>
        </w:pBdr>
        <w:ind w:left="567" w:hanging="567"/>
      </w:pPr>
      <w:r w:rsidRPr="00C4031D">
        <w:t>The auditor has obtained all of the other information prior to the date of the auditor’s report and has not identified a material misstatement of the other information.</w:t>
      </w:r>
      <w:r w:rsidRPr="00C4031D">
        <w:rPr>
          <w:rStyle w:val="FootnoteReference"/>
        </w:rPr>
        <w:footnoteReference w:customMarkFollows="1" w:id="18"/>
        <w:t>*</w:t>
      </w:r>
    </w:p>
    <w:p w14:paraId="29675A4F" w14:textId="77777777" w:rsidR="00D51345" w:rsidRPr="00C4031D" w:rsidRDefault="00D51345" w:rsidP="005E74D4">
      <w:pPr>
        <w:pStyle w:val="ListBullet"/>
        <w:pBdr>
          <w:top w:val="single" w:sz="4" w:space="1" w:color="auto"/>
          <w:left w:val="single" w:sz="4" w:space="4" w:color="auto"/>
          <w:bottom w:val="single" w:sz="4" w:space="1" w:color="auto"/>
          <w:right w:val="single" w:sz="4" w:space="4" w:color="auto"/>
        </w:pBdr>
        <w:spacing w:after="0"/>
        <w:ind w:left="567" w:hanging="567"/>
      </w:pPr>
      <w:r w:rsidRPr="00C4031D">
        <w:t>In addition to the audit of the financial report, the auditor has other reporting responsib</w:t>
      </w:r>
      <w:r w:rsidR="00D92C96" w:rsidRPr="00C4031D">
        <w:t xml:space="preserve">ilities required under section 308(3C) of the </w:t>
      </w:r>
      <w:r w:rsidR="00C976E8">
        <w:rPr>
          <w:i/>
        </w:rPr>
        <w:t>Corporations Act </w:t>
      </w:r>
      <w:r w:rsidR="00D92C96" w:rsidRPr="00C4031D">
        <w:rPr>
          <w:i/>
        </w:rPr>
        <w:t>2001</w:t>
      </w:r>
      <w:r w:rsidRPr="00C4031D">
        <w:t>.</w:t>
      </w:r>
    </w:p>
    <w:p w14:paraId="7D00519A" w14:textId="77777777" w:rsidR="005E74D4" w:rsidRDefault="005E74D4" w:rsidP="005E74D4">
      <w:pPr>
        <w:pStyle w:val="ListBullet"/>
        <w:numPr>
          <w:ilvl w:val="0"/>
          <w:numId w:val="0"/>
        </w:numPr>
        <w:pBdr>
          <w:top w:val="single" w:sz="4" w:space="1" w:color="auto"/>
          <w:left w:val="single" w:sz="4" w:space="4" w:color="auto"/>
          <w:bottom w:val="single" w:sz="4" w:space="1" w:color="auto"/>
          <w:right w:val="single" w:sz="4" w:space="4" w:color="auto"/>
        </w:pBdr>
        <w:spacing w:after="0"/>
      </w:pPr>
    </w:p>
    <w:p w14:paraId="10477709" w14:textId="77777777" w:rsidR="0049402A" w:rsidRPr="00F91E4D" w:rsidRDefault="0049402A" w:rsidP="002F0724">
      <w:pPr>
        <w:pStyle w:val="ListBullet"/>
        <w:numPr>
          <w:ilvl w:val="0"/>
          <w:numId w:val="0"/>
        </w:numPr>
        <w:spacing w:before="240"/>
      </w:pPr>
      <w:r w:rsidRPr="00F91E4D">
        <w:lastRenderedPageBreak/>
        <w:t>INDEPENDENT AUDITOR’S REPORT</w:t>
      </w:r>
    </w:p>
    <w:p w14:paraId="20AE51F0" w14:textId="77777777" w:rsidR="0049402A" w:rsidRPr="00F91E4D" w:rsidRDefault="0049402A" w:rsidP="0049402A">
      <w:pPr>
        <w:pStyle w:val="ParaPlain"/>
      </w:pPr>
      <w:r w:rsidRPr="00F91E4D">
        <w:t>[Appropriate Addressee]</w:t>
      </w:r>
    </w:p>
    <w:p w14:paraId="5A8A2A78" w14:textId="77777777" w:rsidR="0049402A" w:rsidRPr="00C4031D" w:rsidRDefault="0049402A" w:rsidP="0049402A">
      <w:pPr>
        <w:pStyle w:val="Heading8"/>
      </w:pPr>
      <w:r w:rsidRPr="0049402A">
        <w:rPr>
          <w:b/>
        </w:rPr>
        <w:t xml:space="preserve">Report on </w:t>
      </w:r>
      <w:r w:rsidRPr="00C4031D">
        <w:rPr>
          <w:b/>
        </w:rPr>
        <w:t xml:space="preserve">the </w:t>
      </w:r>
      <w:r w:rsidR="00761C9D" w:rsidRPr="00C4031D">
        <w:rPr>
          <w:b/>
        </w:rPr>
        <w:t xml:space="preserve">Audit of the </w:t>
      </w:r>
      <w:r w:rsidRPr="00C4031D">
        <w:rPr>
          <w:b/>
        </w:rPr>
        <w:t>Financial Report</w:t>
      </w:r>
      <w:r w:rsidRPr="00C4031D">
        <w:rPr>
          <w:rStyle w:val="FootnoteReference"/>
        </w:rPr>
        <w:footnoteReference w:customMarkFollows="1" w:id="19"/>
        <w:sym w:font="Symbol" w:char="F02A"/>
      </w:r>
    </w:p>
    <w:p w14:paraId="018C25F9" w14:textId="77777777" w:rsidR="00612402" w:rsidRPr="00C4031D" w:rsidRDefault="00860D26" w:rsidP="00612402">
      <w:pPr>
        <w:pStyle w:val="Heading8"/>
        <w:rPr>
          <w:b/>
        </w:rPr>
      </w:pPr>
      <w:r w:rsidRPr="00C4031D">
        <w:rPr>
          <w:b/>
        </w:rPr>
        <w:t xml:space="preserve">Qualified </w:t>
      </w:r>
      <w:r w:rsidR="00612402" w:rsidRPr="00C4031D">
        <w:rPr>
          <w:b/>
        </w:rPr>
        <w:t>Opinion</w:t>
      </w:r>
    </w:p>
    <w:p w14:paraId="789975E7" w14:textId="77777777" w:rsidR="0049402A" w:rsidRPr="00C4031D" w:rsidRDefault="0049402A" w:rsidP="0049402A">
      <w:pPr>
        <w:pStyle w:val="ParaPlain"/>
      </w:pPr>
      <w:r w:rsidRPr="00C4031D">
        <w:t>We have audited the financial report of ABC Company Ltd.,</w:t>
      </w:r>
      <w:r w:rsidR="00761C9D" w:rsidRPr="00C4031D">
        <w:t xml:space="preserve"> (the Company)</w:t>
      </w:r>
      <w:r w:rsidR="00D940CB" w:rsidRPr="00C4031D">
        <w:t>,</w:t>
      </w:r>
      <w:r w:rsidRPr="00C4031D">
        <w:t xml:space="preserve"> which comprises the statement of financial position as at 30 June 20X1, the statement of comprehensive income, statement of changes in equity and statement of cash flows for the year then ended, </w:t>
      </w:r>
      <w:r w:rsidR="00761C9D" w:rsidRPr="00C4031D">
        <w:t xml:space="preserve">and </w:t>
      </w:r>
      <w:r w:rsidRPr="00C4031D">
        <w:t xml:space="preserve">notes </w:t>
      </w:r>
      <w:r w:rsidR="00761C9D" w:rsidRPr="00C4031D">
        <w:t xml:space="preserve">to the financial </w:t>
      </w:r>
      <w:r w:rsidR="00046FB7" w:rsidRPr="00C4031D">
        <w:t>statements</w:t>
      </w:r>
      <w:r w:rsidR="00D940CB" w:rsidRPr="00C4031D">
        <w:t>,</w:t>
      </w:r>
      <w:r w:rsidR="00046FB7" w:rsidRPr="00C4031D">
        <w:t xml:space="preserve"> including </w:t>
      </w:r>
      <w:r w:rsidRPr="00C4031D">
        <w:t>a summary of significant accounting policies, and the directors’ declaration.</w:t>
      </w:r>
    </w:p>
    <w:p w14:paraId="324D24D1" w14:textId="77777777" w:rsidR="00860D26" w:rsidRPr="00C4031D" w:rsidRDefault="00860D26" w:rsidP="00860D26">
      <w:pPr>
        <w:pStyle w:val="ParaPlain"/>
      </w:pPr>
      <w:r w:rsidRPr="00C4031D">
        <w:t xml:space="preserve">In our opinion, except for the possible effects of the matter described in the </w:t>
      </w:r>
      <w:r w:rsidRPr="00C4031D">
        <w:rPr>
          <w:i/>
        </w:rPr>
        <w:t>Basis for Qualified Opinion</w:t>
      </w:r>
      <w:r w:rsidRPr="00C4031D">
        <w:t xml:space="preserve"> </w:t>
      </w:r>
      <w:r w:rsidR="00694E66" w:rsidRPr="00C4031D">
        <w:t>section of our report</w:t>
      </w:r>
      <w:r w:rsidRPr="00C4031D">
        <w:t>,</w:t>
      </w:r>
      <w:r w:rsidR="008B76EB" w:rsidRPr="00C4031D">
        <w:t xml:space="preserve"> </w:t>
      </w:r>
      <w:r w:rsidRPr="00C4031D">
        <w:t xml:space="preserve">the </w:t>
      </w:r>
      <w:r w:rsidR="00046FB7" w:rsidRPr="00C4031D">
        <w:t xml:space="preserve">accompanying </w:t>
      </w:r>
      <w:r w:rsidRPr="00C4031D">
        <w:t>financial report of ABC Company Ltd.</w:t>
      </w:r>
      <w:r w:rsidR="00B46A56" w:rsidRPr="00C4031D">
        <w:t>,</w:t>
      </w:r>
      <w:r w:rsidRPr="00C4031D">
        <w:t xml:space="preserve"> is in accordance with the </w:t>
      </w:r>
      <w:r w:rsidRPr="00C4031D">
        <w:rPr>
          <w:i/>
        </w:rPr>
        <w:t>Corporations Act 2001</w:t>
      </w:r>
      <w:r w:rsidRPr="00C4031D">
        <w:t>, including:</w:t>
      </w:r>
    </w:p>
    <w:p w14:paraId="548A3BB8" w14:textId="77777777" w:rsidR="00860D26" w:rsidRPr="00C4031D" w:rsidRDefault="00860D26" w:rsidP="00770062">
      <w:pPr>
        <w:pStyle w:val="ParaLevel3"/>
        <w:tabs>
          <w:tab w:val="clear" w:pos="360"/>
          <w:tab w:val="num" w:pos="567"/>
        </w:tabs>
        <w:ind w:left="567" w:hanging="567"/>
      </w:pPr>
      <w:r w:rsidRPr="00C4031D">
        <w:t xml:space="preserve">giving a true and fair view of the company’s financial position as at 30 June 20X1 and of its </w:t>
      </w:r>
      <w:r w:rsidR="00B603A9" w:rsidRPr="00C4031D">
        <w:t xml:space="preserve">financial </w:t>
      </w:r>
      <w:r w:rsidRPr="00C4031D">
        <w:t xml:space="preserve">performance for the year </w:t>
      </w:r>
      <w:r w:rsidR="00046FB7" w:rsidRPr="00C4031D">
        <w:t>then ended</w:t>
      </w:r>
      <w:r w:rsidRPr="00C4031D">
        <w:t>; and</w:t>
      </w:r>
    </w:p>
    <w:p w14:paraId="5621DADC" w14:textId="77777777" w:rsidR="00860D26" w:rsidRPr="00C4031D" w:rsidRDefault="00860D26" w:rsidP="00860D26">
      <w:pPr>
        <w:pStyle w:val="ParaLevel3"/>
        <w:tabs>
          <w:tab w:val="clear" w:pos="360"/>
          <w:tab w:val="num" w:pos="567"/>
        </w:tabs>
        <w:ind w:left="567" w:hanging="567"/>
      </w:pPr>
      <w:r w:rsidRPr="00C4031D">
        <w:t>complying with Australian Accounting Standards</w:t>
      </w:r>
      <w:r w:rsidRPr="00C4031D" w:rsidDel="00D84CCB">
        <w:t xml:space="preserve"> </w:t>
      </w:r>
      <w:r w:rsidRPr="00C4031D">
        <w:t xml:space="preserve">and the </w:t>
      </w:r>
      <w:r w:rsidRPr="00C4031D">
        <w:rPr>
          <w:i/>
        </w:rPr>
        <w:t>Corporations</w:t>
      </w:r>
      <w:r w:rsidRPr="00C4031D">
        <w:t xml:space="preserve"> </w:t>
      </w:r>
      <w:r w:rsidRPr="00C4031D">
        <w:rPr>
          <w:i/>
        </w:rPr>
        <w:t>Regulations</w:t>
      </w:r>
      <w:r w:rsidR="003D01CE">
        <w:t> </w:t>
      </w:r>
      <w:r w:rsidRPr="00C4031D">
        <w:rPr>
          <w:i/>
        </w:rPr>
        <w:t>2001</w:t>
      </w:r>
      <w:r w:rsidRPr="00C4031D">
        <w:t xml:space="preserve">.  </w:t>
      </w:r>
    </w:p>
    <w:p w14:paraId="6BD5FBAB" w14:textId="77777777" w:rsidR="00860D26" w:rsidRPr="00C4031D" w:rsidRDefault="00860D26" w:rsidP="00860D26">
      <w:pPr>
        <w:pStyle w:val="Heading8"/>
        <w:rPr>
          <w:b/>
        </w:rPr>
      </w:pPr>
      <w:r w:rsidRPr="00C4031D">
        <w:rPr>
          <w:b/>
        </w:rPr>
        <w:t xml:space="preserve">Basis for </w:t>
      </w:r>
      <w:r w:rsidR="00921C03" w:rsidRPr="00C4031D">
        <w:rPr>
          <w:b/>
        </w:rPr>
        <w:t xml:space="preserve">Qualified </w:t>
      </w:r>
      <w:r w:rsidRPr="00C4031D">
        <w:rPr>
          <w:b/>
        </w:rPr>
        <w:t>Opinion</w:t>
      </w:r>
    </w:p>
    <w:p w14:paraId="0B24AF7C" w14:textId="77777777" w:rsidR="00860D26" w:rsidRPr="00C4031D" w:rsidRDefault="00860D26" w:rsidP="00860D26">
      <w:pPr>
        <w:pStyle w:val="ParaPlain"/>
      </w:pPr>
      <w:r w:rsidRPr="00C4031D">
        <w:t xml:space="preserve">We were appointed as auditors of the company on 31 December 20X0 and thus did not observe the counting of the physical inventories at the beginning of the year.  We were unable to satisfy ourselves by alternative means concerning inventory quantities held at 30 June 20X0.  Since opening inventories enter into the determination of the financial performance and cash flows, we were unable to determine whether adjustments might have been necessary in respect of the income for the year reported in the statement of comprehensive income and the net cash flows from operating activities reported in the statement of cash flows.  </w:t>
      </w:r>
    </w:p>
    <w:p w14:paraId="196CCBF1" w14:textId="7D8E8640" w:rsidR="00FF514A" w:rsidRPr="00C4031D" w:rsidRDefault="00FF514A" w:rsidP="00770062">
      <w:pPr>
        <w:pStyle w:val="ParaPlain"/>
      </w:pPr>
      <w:r w:rsidRPr="00C4031D">
        <w:t xml:space="preserve">We conducted our audit in accordance with Australian Auditing Standards.  Our responsibilities under those standards are further described in the </w:t>
      </w:r>
      <w:r w:rsidRPr="00C4031D">
        <w:rPr>
          <w:i/>
        </w:rPr>
        <w:t>Auditor’s</w:t>
      </w:r>
      <w:r w:rsidRPr="00C4031D">
        <w:t xml:space="preserve"> </w:t>
      </w:r>
      <w:r w:rsidRPr="00C4031D">
        <w:rPr>
          <w:i/>
        </w:rPr>
        <w:t>Responsibilities</w:t>
      </w:r>
      <w:r w:rsidRPr="00C4031D">
        <w:t xml:space="preserve"> </w:t>
      </w:r>
      <w:r w:rsidRPr="00C4031D">
        <w:rPr>
          <w:i/>
        </w:rPr>
        <w:t>for</w:t>
      </w:r>
      <w:r w:rsidRPr="00C4031D">
        <w:t xml:space="preserve"> </w:t>
      </w:r>
      <w:r w:rsidRPr="00C4031D">
        <w:rPr>
          <w:i/>
        </w:rPr>
        <w:t>the</w:t>
      </w:r>
      <w:r w:rsidRPr="00C4031D">
        <w:t xml:space="preserve"> </w:t>
      </w:r>
      <w:r w:rsidRPr="00C4031D">
        <w:rPr>
          <w:i/>
        </w:rPr>
        <w:t>Audit</w:t>
      </w:r>
      <w:r w:rsidRPr="00C4031D">
        <w:t xml:space="preserve"> </w:t>
      </w:r>
      <w:r w:rsidRPr="00C4031D">
        <w:rPr>
          <w:i/>
        </w:rPr>
        <w:t>of</w:t>
      </w:r>
      <w:r w:rsidRPr="00C4031D">
        <w:t xml:space="preserve"> </w:t>
      </w:r>
      <w:r w:rsidRPr="00C4031D">
        <w:rPr>
          <w:i/>
        </w:rPr>
        <w:t>the</w:t>
      </w:r>
      <w:r w:rsidRPr="00C4031D">
        <w:t xml:space="preserve"> </w:t>
      </w:r>
      <w:r w:rsidRPr="00C4031D">
        <w:rPr>
          <w:i/>
        </w:rPr>
        <w:t>Financial</w:t>
      </w:r>
      <w:r w:rsidRPr="00C4031D">
        <w:t xml:space="preserve"> </w:t>
      </w:r>
      <w:r w:rsidRPr="00C4031D">
        <w:rPr>
          <w:i/>
        </w:rPr>
        <w:t>Report</w:t>
      </w:r>
      <w:r w:rsidRPr="00C4031D">
        <w:t xml:space="preserve"> section of our report.  We are independent of the Company in accordance with the auditor independence requirements of the </w:t>
      </w:r>
      <w:r w:rsidR="003D01CE">
        <w:rPr>
          <w:i/>
        </w:rPr>
        <w:t>Corporations Act </w:t>
      </w:r>
      <w:r w:rsidRPr="00C4031D">
        <w:rPr>
          <w:i/>
        </w:rPr>
        <w:t>2001</w:t>
      </w:r>
      <w:r w:rsidRPr="00C4031D">
        <w:t xml:space="preserve"> and the ethical requirements of the Accounting Professional </w:t>
      </w:r>
      <w:r w:rsidR="00521E3C">
        <w:t xml:space="preserve">&amp; </w:t>
      </w:r>
      <w:r w:rsidR="003D01CE">
        <w:t>Ethical Standards Board’s APES </w:t>
      </w:r>
      <w:r w:rsidRPr="00C4031D">
        <w:t xml:space="preserve">110 </w:t>
      </w:r>
      <w:r w:rsidRPr="00C4031D">
        <w:rPr>
          <w:i/>
        </w:rPr>
        <w:t>Code</w:t>
      </w:r>
      <w:r w:rsidRPr="00C4031D">
        <w:t xml:space="preserve"> </w:t>
      </w:r>
      <w:r w:rsidRPr="00C4031D">
        <w:rPr>
          <w:i/>
        </w:rPr>
        <w:t>of</w:t>
      </w:r>
      <w:r w:rsidRPr="00C4031D">
        <w:t xml:space="preserve"> </w:t>
      </w:r>
      <w:r w:rsidRPr="00C4031D">
        <w:rPr>
          <w:i/>
        </w:rPr>
        <w:t>Ethics</w:t>
      </w:r>
      <w:r w:rsidRPr="00C4031D">
        <w:t xml:space="preserve"> </w:t>
      </w:r>
      <w:r w:rsidRPr="00C4031D">
        <w:rPr>
          <w:i/>
        </w:rPr>
        <w:t>for</w:t>
      </w:r>
      <w:r w:rsidRPr="00C4031D">
        <w:t xml:space="preserve"> </w:t>
      </w:r>
      <w:r w:rsidRPr="00C4031D">
        <w:rPr>
          <w:i/>
        </w:rPr>
        <w:t>Professional</w:t>
      </w:r>
      <w:r w:rsidRPr="00C4031D">
        <w:t xml:space="preserve"> </w:t>
      </w:r>
      <w:r w:rsidRPr="00C4031D">
        <w:rPr>
          <w:i/>
        </w:rPr>
        <w:t>Accountants</w:t>
      </w:r>
      <w:r w:rsidR="00521E3C">
        <w:rPr>
          <w:i/>
        </w:rPr>
        <w:t xml:space="preserve"> </w:t>
      </w:r>
      <w:r w:rsidR="00521E3C" w:rsidRPr="00521E3C">
        <w:rPr>
          <w:i/>
        </w:rPr>
        <w:t>(including Independence Standards)</w:t>
      </w:r>
      <w:r w:rsidRPr="00C4031D">
        <w:t xml:space="preserve"> (the Code) that are relevant to our audit of the financial report in Australia.  We have also fulfilled our other ethical responsibilities in accordance with the Code.  </w:t>
      </w:r>
    </w:p>
    <w:p w14:paraId="7DD8903F" w14:textId="77777777" w:rsidR="00C97FDD" w:rsidRPr="00C4031D" w:rsidRDefault="00C97FDD" w:rsidP="00770062">
      <w:pPr>
        <w:pStyle w:val="ParaPlain"/>
      </w:pPr>
      <w:r w:rsidRPr="00C4031D">
        <w:t xml:space="preserve">We confirm that the independence declaration required by the </w:t>
      </w:r>
      <w:r w:rsidRPr="00C4031D">
        <w:rPr>
          <w:i/>
        </w:rPr>
        <w:t>Corporations Act 2001</w:t>
      </w:r>
      <w:r w:rsidRPr="00C4031D">
        <w:t xml:space="preserve">, which has been given to the directors of </w:t>
      </w:r>
      <w:r w:rsidR="003C6406" w:rsidRPr="00C4031D">
        <w:t>the Company</w:t>
      </w:r>
      <w:r w:rsidRPr="00C4031D">
        <w:t xml:space="preserve"> would be in the same terms if given to the directors as at the time of this auditor’s report.</w:t>
      </w:r>
      <w:r w:rsidR="00906B81" w:rsidRPr="00C4031D">
        <w:rPr>
          <w:rStyle w:val="FootnoteReference"/>
        </w:rPr>
        <w:footnoteReference w:customMarkFollows="1" w:id="20"/>
        <w:t>#</w:t>
      </w:r>
    </w:p>
    <w:p w14:paraId="7822CDD3" w14:textId="77777777" w:rsidR="00860D26" w:rsidRPr="00C4031D" w:rsidRDefault="00FF514A" w:rsidP="00770062">
      <w:pPr>
        <w:pStyle w:val="ParaPlain"/>
      </w:pPr>
      <w:r w:rsidRPr="00C4031D">
        <w:t>We believe that the audit evidence we have obtained is sufficient and appropriate to provide a basis for our qualified audit opinion.</w:t>
      </w:r>
    </w:p>
    <w:p w14:paraId="6A3F0B1D" w14:textId="77777777" w:rsidR="002F0724" w:rsidRPr="00C4031D" w:rsidRDefault="002F0724" w:rsidP="008B76EB">
      <w:pPr>
        <w:pStyle w:val="Heading8"/>
        <w:rPr>
          <w:b/>
        </w:rPr>
      </w:pPr>
      <w:r w:rsidRPr="00C4031D">
        <w:rPr>
          <w:b/>
        </w:rPr>
        <w:t>Key Audit Matters</w:t>
      </w:r>
    </w:p>
    <w:p w14:paraId="0F9A544B" w14:textId="77777777" w:rsidR="002F0724" w:rsidRPr="00C4031D" w:rsidRDefault="002F0724" w:rsidP="002F0724">
      <w:pPr>
        <w:pStyle w:val="ParaLevel1"/>
        <w:numPr>
          <w:ilvl w:val="0"/>
          <w:numId w:val="0"/>
        </w:numPr>
        <w:ind w:left="709" w:hanging="709"/>
      </w:pPr>
      <w:r w:rsidRPr="00C4031D">
        <w:t>[</w:t>
      </w:r>
      <w:r w:rsidRPr="00C4031D">
        <w:rPr>
          <w:i/>
        </w:rPr>
        <w:t>Reporting in accordance with ASA 700 – see [</w:t>
      </w:r>
      <w:proofErr w:type="spellStart"/>
      <w:r w:rsidRPr="00C4031D">
        <w:rPr>
          <w:i/>
        </w:rPr>
        <w:t>Aus</w:t>
      </w:r>
      <w:proofErr w:type="spellEnd"/>
      <w:r w:rsidRPr="00C4031D">
        <w:rPr>
          <w:i/>
        </w:rPr>
        <w:t>] Illustr</w:t>
      </w:r>
      <w:r w:rsidR="003D01CE">
        <w:rPr>
          <w:i/>
        </w:rPr>
        <w:t>ation 1A in the Appendix of ASA </w:t>
      </w:r>
      <w:r w:rsidRPr="00C4031D">
        <w:rPr>
          <w:i/>
        </w:rPr>
        <w:t>700.</w:t>
      </w:r>
      <w:r w:rsidRPr="00C4031D">
        <w:t>]</w:t>
      </w:r>
    </w:p>
    <w:p w14:paraId="2EA08548" w14:textId="77777777" w:rsidR="008B76EB" w:rsidRPr="00C4031D" w:rsidRDefault="008B76EB" w:rsidP="008B76EB">
      <w:pPr>
        <w:pStyle w:val="Heading8"/>
        <w:rPr>
          <w:b/>
        </w:rPr>
      </w:pPr>
      <w:r w:rsidRPr="00C4031D">
        <w:rPr>
          <w:b/>
        </w:rPr>
        <w:lastRenderedPageBreak/>
        <w:t xml:space="preserve">Other Information [or another title if appropriate such as “Information Other than the Financial Report and Auditor’s Report Thereon”] </w:t>
      </w:r>
    </w:p>
    <w:p w14:paraId="5F25F24C" w14:textId="77777777" w:rsidR="00E27AF3" w:rsidRPr="00C4031D" w:rsidRDefault="00E27AF3" w:rsidP="00E27AF3">
      <w:pPr>
        <w:pStyle w:val="ParaLevel1"/>
        <w:numPr>
          <w:ilvl w:val="0"/>
          <w:numId w:val="0"/>
        </w:numPr>
        <w:rPr>
          <w:i/>
        </w:rPr>
      </w:pPr>
      <w:r w:rsidRPr="00C4031D">
        <w:t>[</w:t>
      </w:r>
      <w:r w:rsidRPr="00C4031D">
        <w:rPr>
          <w:i/>
        </w:rPr>
        <w:t>Reporting in accordance with the repor</w:t>
      </w:r>
      <w:r w:rsidR="003D01CE">
        <w:rPr>
          <w:i/>
        </w:rPr>
        <w:t>ting requirements in ASA </w:t>
      </w:r>
      <w:r w:rsidRPr="00C4031D">
        <w:rPr>
          <w:i/>
        </w:rPr>
        <w:t>720 – see [</w:t>
      </w:r>
      <w:proofErr w:type="spellStart"/>
      <w:r w:rsidRPr="00C4031D">
        <w:rPr>
          <w:i/>
        </w:rPr>
        <w:t>Aus</w:t>
      </w:r>
      <w:proofErr w:type="spellEnd"/>
      <w:r w:rsidR="00654834" w:rsidRPr="00C4031D">
        <w:rPr>
          <w:i/>
        </w:rPr>
        <w:t>]</w:t>
      </w:r>
      <w:r w:rsidR="00774843" w:rsidRPr="00C4031D">
        <w:rPr>
          <w:i/>
        </w:rPr>
        <w:t xml:space="preserve"> Illustration</w:t>
      </w:r>
      <w:r w:rsidR="003D01CE">
        <w:rPr>
          <w:i/>
        </w:rPr>
        <w:t> </w:t>
      </w:r>
      <w:r w:rsidR="00774843" w:rsidRPr="00C4031D">
        <w:rPr>
          <w:i/>
        </w:rPr>
        <w:t>6</w:t>
      </w:r>
      <w:r w:rsidR="00193EE1" w:rsidRPr="00C4031D">
        <w:rPr>
          <w:i/>
        </w:rPr>
        <w:t>A in</w:t>
      </w:r>
      <w:r w:rsidR="007D40E0" w:rsidRPr="00C4031D">
        <w:rPr>
          <w:i/>
        </w:rPr>
        <w:t xml:space="preserve"> </w:t>
      </w:r>
      <w:r w:rsidR="003D01CE">
        <w:rPr>
          <w:i/>
        </w:rPr>
        <w:t>Appendix 3 of ASA </w:t>
      </w:r>
      <w:r w:rsidRPr="00C4031D">
        <w:rPr>
          <w:i/>
        </w:rPr>
        <w:t>720.</w:t>
      </w:r>
      <w:r w:rsidR="00980CB3" w:rsidRPr="00C4031D">
        <w:rPr>
          <w:rStyle w:val="FootnoteReference"/>
        </w:rPr>
        <w:footnoteReference w:customMarkFollows="1" w:id="21"/>
        <w:t>†</w:t>
      </w:r>
      <w:r w:rsidRPr="00C4031D">
        <w:t>]</w:t>
      </w:r>
    </w:p>
    <w:p w14:paraId="4DCD30F7" w14:textId="77777777" w:rsidR="002F0724" w:rsidRPr="00C4031D" w:rsidRDefault="002F0724" w:rsidP="002F0724">
      <w:pPr>
        <w:pStyle w:val="Heading8"/>
        <w:rPr>
          <w:b/>
        </w:rPr>
      </w:pPr>
      <w:r w:rsidRPr="00C4031D">
        <w:rPr>
          <w:b/>
        </w:rPr>
        <w:t>Other Matter</w:t>
      </w:r>
    </w:p>
    <w:p w14:paraId="53DC4806" w14:textId="77777777" w:rsidR="002F0724" w:rsidRPr="00C4031D" w:rsidRDefault="002F0724" w:rsidP="002F0724">
      <w:pPr>
        <w:pStyle w:val="ParaPlain"/>
      </w:pPr>
      <w:r w:rsidRPr="00C4031D">
        <w:t>The financial report of the Company for the year ended 30 June 20X0 was audited by another auditor who expressed an unmodified opinion on the financial report on</w:t>
      </w:r>
      <w:r w:rsidRPr="00C4031D" w:rsidDel="00BE7ED0">
        <w:t xml:space="preserve"> </w:t>
      </w:r>
      <w:r w:rsidR="003D01CE">
        <w:t>30 September </w:t>
      </w:r>
      <w:r w:rsidRPr="00C4031D">
        <w:t>20X0.</w:t>
      </w:r>
    </w:p>
    <w:p w14:paraId="44C3F548" w14:textId="77777777" w:rsidR="0049402A" w:rsidRPr="00C4031D" w:rsidRDefault="0049402A" w:rsidP="00770062">
      <w:pPr>
        <w:pStyle w:val="Heading8"/>
        <w:rPr>
          <w:b/>
        </w:rPr>
      </w:pPr>
      <w:r w:rsidRPr="00C4031D">
        <w:rPr>
          <w:b/>
        </w:rPr>
        <w:t>Responsibilit</w:t>
      </w:r>
      <w:r w:rsidR="004F4AA6" w:rsidRPr="00C4031D">
        <w:rPr>
          <w:b/>
        </w:rPr>
        <w:t xml:space="preserve">ies of the Directors </w:t>
      </w:r>
      <w:r w:rsidRPr="00C4031D">
        <w:rPr>
          <w:b/>
        </w:rPr>
        <w:t>for the Financial Report</w:t>
      </w:r>
    </w:p>
    <w:p w14:paraId="2CA5A299" w14:textId="77777777" w:rsidR="0049402A" w:rsidRPr="00C4031D" w:rsidRDefault="00C97FDD" w:rsidP="0049402A">
      <w:pPr>
        <w:pStyle w:val="ParaPlain"/>
      </w:pPr>
      <w:r w:rsidRPr="00C4031D">
        <w:t>[</w:t>
      </w:r>
      <w:r w:rsidRPr="00C4031D">
        <w:rPr>
          <w:i/>
        </w:rPr>
        <w:t>Reporting in accordance with ASA 700 – see [</w:t>
      </w:r>
      <w:proofErr w:type="spellStart"/>
      <w:r w:rsidRPr="00C4031D">
        <w:rPr>
          <w:i/>
        </w:rPr>
        <w:t>Aus</w:t>
      </w:r>
      <w:proofErr w:type="spellEnd"/>
      <w:r w:rsidRPr="00C4031D">
        <w:rPr>
          <w:i/>
        </w:rPr>
        <w:t xml:space="preserve">] Illustration 1A in </w:t>
      </w:r>
      <w:r w:rsidR="00B16619" w:rsidRPr="00C4031D">
        <w:rPr>
          <w:i/>
        </w:rPr>
        <w:t xml:space="preserve">the </w:t>
      </w:r>
      <w:r w:rsidR="009E1B6B" w:rsidRPr="00C4031D">
        <w:rPr>
          <w:i/>
        </w:rPr>
        <w:t xml:space="preserve">Appendix of </w:t>
      </w:r>
      <w:r w:rsidR="003D01CE">
        <w:rPr>
          <w:i/>
        </w:rPr>
        <w:t>ASA </w:t>
      </w:r>
      <w:r w:rsidRPr="00C4031D">
        <w:rPr>
          <w:i/>
        </w:rPr>
        <w:t>700</w:t>
      </w:r>
      <w:r w:rsidRPr="00C4031D">
        <w:t xml:space="preserve">.] </w:t>
      </w:r>
    </w:p>
    <w:p w14:paraId="695BA072" w14:textId="77777777" w:rsidR="0049402A" w:rsidRPr="00C4031D" w:rsidRDefault="0049402A" w:rsidP="009771ED">
      <w:pPr>
        <w:pStyle w:val="Heading8"/>
        <w:rPr>
          <w:b/>
        </w:rPr>
      </w:pPr>
      <w:r w:rsidRPr="00C4031D">
        <w:rPr>
          <w:b/>
        </w:rPr>
        <w:t>Auditor’s Responsibilit</w:t>
      </w:r>
      <w:r w:rsidR="004F4AA6" w:rsidRPr="00C4031D">
        <w:rPr>
          <w:b/>
        </w:rPr>
        <w:t>ies for the Audit of the Financial Report</w:t>
      </w:r>
    </w:p>
    <w:p w14:paraId="7B271F96" w14:textId="77777777" w:rsidR="00C97FDD" w:rsidRPr="00C4031D" w:rsidRDefault="00C97FDD" w:rsidP="00AF63B7">
      <w:pPr>
        <w:pStyle w:val="ParaPlain"/>
      </w:pPr>
      <w:r w:rsidRPr="00C4031D">
        <w:t>[</w:t>
      </w:r>
      <w:r w:rsidRPr="00AF63B7">
        <w:rPr>
          <w:i/>
        </w:rPr>
        <w:t>Reporting in accordance with ASA 700 – see [</w:t>
      </w:r>
      <w:proofErr w:type="spellStart"/>
      <w:r w:rsidRPr="00AF63B7">
        <w:rPr>
          <w:i/>
        </w:rPr>
        <w:t>Aus</w:t>
      </w:r>
      <w:proofErr w:type="spellEnd"/>
      <w:r w:rsidRPr="00AF63B7">
        <w:rPr>
          <w:i/>
        </w:rPr>
        <w:t xml:space="preserve">] Illustration 1A in </w:t>
      </w:r>
      <w:r w:rsidR="00B16619" w:rsidRPr="00AF63B7">
        <w:rPr>
          <w:i/>
        </w:rPr>
        <w:t xml:space="preserve">the </w:t>
      </w:r>
      <w:r w:rsidR="009E1B6B" w:rsidRPr="00AF63B7">
        <w:rPr>
          <w:i/>
        </w:rPr>
        <w:t xml:space="preserve">Appendix of </w:t>
      </w:r>
      <w:r w:rsidR="003D01CE" w:rsidRPr="00AF63B7">
        <w:rPr>
          <w:i/>
        </w:rPr>
        <w:t>ASA </w:t>
      </w:r>
      <w:r w:rsidRPr="00AF63B7">
        <w:rPr>
          <w:i/>
        </w:rPr>
        <w:t>700</w:t>
      </w:r>
      <w:r w:rsidRPr="00C4031D">
        <w:t>.]</w:t>
      </w:r>
    </w:p>
    <w:p w14:paraId="26F3A618" w14:textId="77777777" w:rsidR="0049402A" w:rsidRPr="00C4031D" w:rsidRDefault="0049402A" w:rsidP="0049402A">
      <w:pPr>
        <w:pStyle w:val="Heading8"/>
      </w:pPr>
      <w:r w:rsidRPr="00C4031D">
        <w:rPr>
          <w:b/>
        </w:rPr>
        <w:t>Report on the Remuneration Report</w:t>
      </w:r>
      <w:r w:rsidRPr="00C4031D">
        <w:rPr>
          <w:rStyle w:val="FootnoteReference"/>
        </w:rPr>
        <w:footnoteReference w:customMarkFollows="1" w:id="22"/>
        <w:sym w:font="Symbol" w:char="F02A"/>
      </w:r>
    </w:p>
    <w:p w14:paraId="6C37B012" w14:textId="77777777" w:rsidR="008D15F1" w:rsidRPr="00C4031D" w:rsidRDefault="00CB4915" w:rsidP="008D15F1">
      <w:pPr>
        <w:pStyle w:val="ParaPlain"/>
      </w:pPr>
      <w:r w:rsidRPr="00C4031D">
        <w:t>[</w:t>
      </w:r>
      <w:r w:rsidRPr="00C4031D">
        <w:rPr>
          <w:i/>
        </w:rPr>
        <w:t>Reporting in accordance with ASA</w:t>
      </w:r>
      <w:r w:rsidR="00F15395" w:rsidRPr="00C4031D">
        <w:rPr>
          <w:i/>
        </w:rPr>
        <w:t> </w:t>
      </w:r>
      <w:r w:rsidRPr="00C4031D">
        <w:rPr>
          <w:i/>
        </w:rPr>
        <w:t>700 – see [</w:t>
      </w:r>
      <w:proofErr w:type="spellStart"/>
      <w:r w:rsidRPr="00C4031D">
        <w:rPr>
          <w:i/>
        </w:rPr>
        <w:t>Aus</w:t>
      </w:r>
      <w:proofErr w:type="spellEnd"/>
      <w:r w:rsidRPr="00C4031D">
        <w:rPr>
          <w:i/>
        </w:rPr>
        <w:t xml:space="preserve">] Illustration 1A in </w:t>
      </w:r>
      <w:r w:rsidR="00B16619" w:rsidRPr="00C4031D">
        <w:rPr>
          <w:i/>
        </w:rPr>
        <w:t xml:space="preserve">the </w:t>
      </w:r>
      <w:r w:rsidR="009E1B6B" w:rsidRPr="00C4031D">
        <w:rPr>
          <w:i/>
        </w:rPr>
        <w:t xml:space="preserve">Appendix of </w:t>
      </w:r>
      <w:r w:rsidR="003D01CE">
        <w:rPr>
          <w:i/>
        </w:rPr>
        <w:t>ASA </w:t>
      </w:r>
      <w:r w:rsidRPr="00C4031D">
        <w:rPr>
          <w:i/>
        </w:rPr>
        <w:t>700</w:t>
      </w:r>
      <w:r w:rsidRPr="00C4031D">
        <w:t>.]</w:t>
      </w:r>
    </w:p>
    <w:p w14:paraId="2F6A9C13" w14:textId="77777777" w:rsidR="0049402A" w:rsidRPr="00C4031D" w:rsidRDefault="0049402A" w:rsidP="008759A5">
      <w:pPr>
        <w:pStyle w:val="ParaPlain"/>
        <w:spacing w:before="240"/>
      </w:pPr>
      <w:r w:rsidRPr="00C4031D">
        <w:t>[</w:t>
      </w:r>
      <w:r w:rsidRPr="00C4031D">
        <w:rPr>
          <w:i/>
        </w:rPr>
        <w:t xml:space="preserve">Auditor’s </w:t>
      </w:r>
      <w:r w:rsidR="004F4AA6" w:rsidRPr="00C4031D">
        <w:rPr>
          <w:i/>
        </w:rPr>
        <w:t xml:space="preserve">name and </w:t>
      </w:r>
      <w:r w:rsidRPr="00C4031D">
        <w:rPr>
          <w:i/>
        </w:rPr>
        <w:t>signature</w:t>
      </w:r>
      <w:r w:rsidRPr="00C4031D">
        <w:t>]</w:t>
      </w:r>
      <w:r w:rsidRPr="00C4031D">
        <w:rPr>
          <w:rStyle w:val="FootnoteReference"/>
        </w:rPr>
        <w:footnoteReference w:customMarkFollows="1" w:id="23"/>
        <w:sym w:font="Symbol" w:char="F023"/>
      </w:r>
    </w:p>
    <w:p w14:paraId="27F2505B" w14:textId="77777777" w:rsidR="004F4AA6" w:rsidRPr="00F91E4D" w:rsidRDefault="004F4AA6" w:rsidP="009771ED">
      <w:pPr>
        <w:pStyle w:val="ParaPlain"/>
      </w:pPr>
      <w:r w:rsidRPr="00C4031D">
        <w:t>[</w:t>
      </w:r>
      <w:r w:rsidRPr="00C4031D">
        <w:rPr>
          <w:i/>
        </w:rPr>
        <w:t>Name of Firm</w:t>
      </w:r>
      <w:r w:rsidRPr="00C4031D">
        <w:t>]</w:t>
      </w:r>
    </w:p>
    <w:p w14:paraId="16018987" w14:textId="77777777" w:rsidR="0049402A" w:rsidRPr="00F91E4D" w:rsidRDefault="0049402A" w:rsidP="0049402A">
      <w:pPr>
        <w:pStyle w:val="ParaPlain"/>
      </w:pPr>
      <w:r w:rsidRPr="00F91E4D">
        <w:t>[</w:t>
      </w:r>
      <w:r w:rsidRPr="009771ED">
        <w:rPr>
          <w:i/>
        </w:rPr>
        <w:t>Date of the auditor’s report]</w:t>
      </w:r>
      <w:r w:rsidR="00F032CE">
        <w:rPr>
          <w:rStyle w:val="FootnoteReference"/>
        </w:rPr>
        <w:footnoteReference w:customMarkFollows="1" w:id="24"/>
        <w:t>§</w:t>
      </w:r>
    </w:p>
    <w:p w14:paraId="5405CB0C" w14:textId="77777777" w:rsidR="00237F0A" w:rsidRPr="0000664A" w:rsidRDefault="0049402A" w:rsidP="00237F0A">
      <w:r w:rsidRPr="00F91E4D">
        <w:t>[</w:t>
      </w:r>
      <w:r w:rsidRPr="009771ED">
        <w:rPr>
          <w:i/>
        </w:rPr>
        <w:t>Auditor’s address</w:t>
      </w:r>
      <w:r w:rsidRPr="00F91E4D">
        <w:t>]</w:t>
      </w:r>
    </w:p>
    <w:sectPr w:rsidR="00237F0A" w:rsidRPr="0000664A" w:rsidSect="00237F0A">
      <w:head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9859" w14:textId="77777777" w:rsidR="00833B1C" w:rsidRDefault="00833B1C">
      <w:r>
        <w:separator/>
      </w:r>
    </w:p>
  </w:endnote>
  <w:endnote w:type="continuationSeparator" w:id="0">
    <w:p w14:paraId="3ED11CCC" w14:textId="77777777" w:rsidR="00833B1C" w:rsidRDefault="0083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CBA" w14:textId="77777777" w:rsidR="001E46DC" w:rsidRDefault="00833B1C" w:rsidP="00A13EDD">
    <w:pPr>
      <w:pStyle w:val="Footer"/>
      <w:spacing w:before="200"/>
      <w:rPr>
        <w:rStyle w:val="PageNumber"/>
      </w:rPr>
    </w:pPr>
    <w:fldSimple w:instr=" REF DocType \* charformat " w:fldLock="1">
      <w:r w:rsidR="00836E68">
        <w:t>ASA</w:t>
      </w:r>
    </w:fldSimple>
    <w:r w:rsidR="001E46DC">
      <w:t xml:space="preserve"> </w:t>
    </w:r>
    <w:fldSimple w:instr=" REF DocNo \* charformat " w:fldLock="1">
      <w:r w:rsidR="00836E68">
        <w:t>510</w:t>
      </w:r>
    </w:fldSimple>
    <w:r w:rsidR="001E46DC">
      <w:t xml:space="preserve"> - compiled</w:t>
    </w:r>
    <w:r w:rsidR="001E46DC">
      <w:rPr>
        <w:rStyle w:val="PageNumber"/>
      </w:rPr>
      <w:tab/>
    </w:r>
    <w:r w:rsidR="001E46DC">
      <w:rPr>
        <w:b w:val="0"/>
        <w:bCs/>
      </w:rPr>
      <w:t xml:space="preserve">- </w:t>
    </w:r>
    <w:r w:rsidR="001E46DC">
      <w:rPr>
        <w:rStyle w:val="PageNumber"/>
        <w:b w:val="0"/>
        <w:bCs/>
      </w:rPr>
      <w:fldChar w:fldCharType="begin"/>
    </w:r>
    <w:r w:rsidR="001E46DC">
      <w:rPr>
        <w:rStyle w:val="PageNumber"/>
        <w:b w:val="0"/>
        <w:bCs/>
      </w:rPr>
      <w:instrText xml:space="preserve"> PAGE </w:instrText>
    </w:r>
    <w:r w:rsidR="001E46DC">
      <w:rPr>
        <w:rStyle w:val="PageNumber"/>
        <w:b w:val="0"/>
        <w:bCs/>
      </w:rPr>
      <w:fldChar w:fldCharType="separate"/>
    </w:r>
    <w:r w:rsidR="006E679D">
      <w:rPr>
        <w:rStyle w:val="PageNumber"/>
        <w:b w:val="0"/>
        <w:bCs/>
        <w:noProof/>
      </w:rPr>
      <w:t>2</w:t>
    </w:r>
    <w:r w:rsidR="001E46DC">
      <w:rPr>
        <w:rStyle w:val="PageNumber"/>
        <w:b w:val="0"/>
        <w:bCs/>
      </w:rPr>
      <w:fldChar w:fldCharType="end"/>
    </w:r>
    <w:r w:rsidR="001E46DC">
      <w:rPr>
        <w:rStyle w:val="PageNumber"/>
        <w:b w:val="0"/>
        <w:bCs/>
      </w:rPr>
      <w:t xml:space="preserve"> -</w:t>
    </w:r>
    <w:r w:rsidR="001E46DC">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ED17" w14:textId="77777777" w:rsidR="00833B1C" w:rsidRDefault="00833B1C" w:rsidP="006D2111">
      <w:pPr>
        <w:spacing w:before="240"/>
      </w:pPr>
      <w:r>
        <w:separator/>
      </w:r>
    </w:p>
  </w:footnote>
  <w:footnote w:type="continuationSeparator" w:id="0">
    <w:p w14:paraId="7DFCA080" w14:textId="77777777" w:rsidR="00833B1C" w:rsidRDefault="00833B1C" w:rsidP="006D2111">
      <w:pPr>
        <w:spacing w:before="240"/>
      </w:pPr>
      <w:r>
        <w:continuationSeparator/>
      </w:r>
    </w:p>
  </w:footnote>
  <w:footnote w:id="1">
    <w:p w14:paraId="662A7DB2" w14:textId="77777777" w:rsidR="001E46DC" w:rsidRPr="00C4031D" w:rsidRDefault="001E46DC" w:rsidP="00277BC9">
      <w:pPr>
        <w:pStyle w:val="FootnoteText"/>
      </w:pPr>
      <w:r w:rsidRPr="00C4031D">
        <w:rPr>
          <w:rStyle w:val="FootnoteReference"/>
          <w:sz w:val="16"/>
        </w:rPr>
        <w:footnoteRef/>
      </w:r>
      <w:r w:rsidR="003220EE">
        <w:t xml:space="preserve"> </w:t>
      </w:r>
      <w:r w:rsidR="003220EE">
        <w:tab/>
        <w:t>See ASA 600</w:t>
      </w:r>
      <w:r w:rsidRPr="00C4031D">
        <w:t xml:space="preserve"> </w:t>
      </w:r>
      <w:r w:rsidRPr="00C4031D">
        <w:rPr>
          <w:i/>
        </w:rPr>
        <w:t>Special Considerations—Audits of a Group Financial Report (Including the Work of Component Auditors)</w:t>
      </w:r>
      <w:r w:rsidRPr="00C4031D">
        <w:t>.</w:t>
      </w:r>
    </w:p>
  </w:footnote>
  <w:footnote w:id="2">
    <w:p w14:paraId="0724F13B" w14:textId="77777777" w:rsidR="001E46DC" w:rsidRPr="00C4031D" w:rsidRDefault="001E46DC" w:rsidP="00277BC9">
      <w:pPr>
        <w:pStyle w:val="FootnoteText"/>
      </w:pPr>
      <w:r w:rsidRPr="00C4031D">
        <w:rPr>
          <w:rStyle w:val="FootnoteReference"/>
          <w:sz w:val="16"/>
        </w:rPr>
        <w:footnoteRef/>
      </w:r>
      <w:r w:rsidR="003220EE">
        <w:t xml:space="preserve"> </w:t>
      </w:r>
      <w:r w:rsidR="003220EE">
        <w:tab/>
        <w:t>See ASA 210</w:t>
      </w:r>
      <w:r w:rsidRPr="00C4031D">
        <w:t xml:space="preserve"> </w:t>
      </w:r>
      <w:r w:rsidRPr="00C4031D">
        <w:rPr>
          <w:i/>
        </w:rPr>
        <w:t>Agreeing the Terms of Audit Engagements</w:t>
      </w:r>
      <w:r w:rsidRPr="00C4031D">
        <w:t>.</w:t>
      </w:r>
    </w:p>
  </w:footnote>
  <w:footnote w:id="3">
    <w:p w14:paraId="2F471690" w14:textId="77777777" w:rsidR="001E46DC" w:rsidRPr="00C4031D" w:rsidRDefault="001E46DC" w:rsidP="00277BC9">
      <w:pPr>
        <w:pStyle w:val="FootnoteText"/>
      </w:pPr>
      <w:r w:rsidRPr="00C4031D">
        <w:rPr>
          <w:rStyle w:val="FootnoteReference"/>
          <w:sz w:val="16"/>
        </w:rPr>
        <w:footnoteRef/>
      </w:r>
      <w:r w:rsidRPr="00C4031D">
        <w:tab/>
        <w:t>[Footnote deleted by the AUASB—not applicable in Australia.]</w:t>
      </w:r>
    </w:p>
  </w:footnote>
  <w:footnote w:id="4">
    <w:p w14:paraId="553959A5" w14:textId="77777777" w:rsidR="001E46DC" w:rsidRPr="00C4031D" w:rsidRDefault="001E46DC" w:rsidP="00DE2350">
      <w:pPr>
        <w:pStyle w:val="FootnoteText"/>
      </w:pPr>
      <w:r w:rsidRPr="00C4031D">
        <w:rPr>
          <w:rStyle w:val="FootnoteReference"/>
          <w:sz w:val="16"/>
        </w:rPr>
        <w:footnoteRef/>
      </w:r>
      <w:r w:rsidR="003220EE">
        <w:t xml:space="preserve"> </w:t>
      </w:r>
      <w:r w:rsidR="003220EE">
        <w:tab/>
        <w:t>See ASA 570</w:t>
      </w:r>
      <w:r w:rsidRPr="00C4031D">
        <w:t xml:space="preserve"> </w:t>
      </w:r>
      <w:r w:rsidRPr="00C4031D">
        <w:rPr>
          <w:i/>
        </w:rPr>
        <w:t>Going</w:t>
      </w:r>
      <w:r w:rsidRPr="00C4031D">
        <w:t xml:space="preserve"> </w:t>
      </w:r>
      <w:r w:rsidRPr="00C4031D">
        <w:rPr>
          <w:i/>
        </w:rPr>
        <w:t>Concern</w:t>
      </w:r>
      <w:r w:rsidRPr="00C4031D">
        <w:t>.</w:t>
      </w:r>
    </w:p>
  </w:footnote>
  <w:footnote w:id="5">
    <w:p w14:paraId="1430E5C9" w14:textId="77777777" w:rsidR="001E46DC" w:rsidRPr="00C4031D" w:rsidRDefault="001E46DC" w:rsidP="001B2BDF">
      <w:pPr>
        <w:pStyle w:val="FootnoteText"/>
      </w:pPr>
      <w:r w:rsidRPr="00C4031D">
        <w:rPr>
          <w:rStyle w:val="FootnoteReference"/>
          <w:sz w:val="16"/>
        </w:rPr>
        <w:footnoteRef/>
      </w:r>
      <w:r w:rsidR="003220EE">
        <w:t xml:space="preserve"> </w:t>
      </w:r>
      <w:r w:rsidR="003220EE">
        <w:tab/>
        <w:t>See ASA 701</w:t>
      </w:r>
      <w:r w:rsidRPr="00C4031D">
        <w:t xml:space="preserve"> </w:t>
      </w:r>
      <w:r w:rsidRPr="00C4031D">
        <w:rPr>
          <w:i/>
        </w:rPr>
        <w:t>Communicating</w:t>
      </w:r>
      <w:r w:rsidRPr="00C4031D">
        <w:t xml:space="preserve"> </w:t>
      </w:r>
      <w:r w:rsidRPr="00C4031D">
        <w:rPr>
          <w:i/>
        </w:rPr>
        <w:t>Key</w:t>
      </w:r>
      <w:r w:rsidRPr="00C4031D">
        <w:t xml:space="preserve"> </w:t>
      </w:r>
      <w:r w:rsidRPr="00C4031D">
        <w:rPr>
          <w:i/>
        </w:rPr>
        <w:t>Audit</w:t>
      </w:r>
      <w:r w:rsidRPr="00C4031D">
        <w:t xml:space="preserve"> </w:t>
      </w:r>
      <w:r w:rsidRPr="00C4031D">
        <w:rPr>
          <w:i/>
        </w:rPr>
        <w:t>Matters</w:t>
      </w:r>
      <w:r w:rsidRPr="00C4031D">
        <w:t xml:space="preserve"> </w:t>
      </w:r>
      <w:r w:rsidRPr="00C4031D">
        <w:rPr>
          <w:i/>
        </w:rPr>
        <w:t>in</w:t>
      </w:r>
      <w:r w:rsidRPr="00C4031D">
        <w:t xml:space="preserve"> </w:t>
      </w:r>
      <w:r w:rsidRPr="00C4031D">
        <w:rPr>
          <w:i/>
        </w:rPr>
        <w:t>the</w:t>
      </w:r>
      <w:r w:rsidRPr="00C4031D">
        <w:t xml:space="preserve"> </w:t>
      </w:r>
      <w:r w:rsidRPr="00C4031D">
        <w:rPr>
          <w:i/>
        </w:rPr>
        <w:t>Independent</w:t>
      </w:r>
      <w:r w:rsidRPr="00C4031D">
        <w:t xml:space="preserve"> </w:t>
      </w:r>
      <w:r w:rsidRPr="00C4031D">
        <w:rPr>
          <w:i/>
        </w:rPr>
        <w:t>Auditor’s</w:t>
      </w:r>
      <w:r w:rsidRPr="00C4031D">
        <w:t xml:space="preserve"> </w:t>
      </w:r>
      <w:r w:rsidRPr="00C4031D">
        <w:rPr>
          <w:i/>
        </w:rPr>
        <w:t>Report</w:t>
      </w:r>
      <w:r w:rsidRPr="00C4031D">
        <w:t>.</w:t>
      </w:r>
    </w:p>
  </w:footnote>
  <w:footnote w:id="6">
    <w:p w14:paraId="32EC1781" w14:textId="77777777" w:rsidR="001E46DC" w:rsidRPr="00C93CCA" w:rsidRDefault="001E46DC" w:rsidP="00CB4915">
      <w:pPr>
        <w:pStyle w:val="FootnoteText"/>
      </w:pPr>
      <w:r w:rsidRPr="00C4031D">
        <w:rPr>
          <w:rStyle w:val="FootnoteReference"/>
          <w:sz w:val="16"/>
        </w:rPr>
        <w:t>*</w:t>
      </w:r>
      <w:r w:rsidRPr="00C4031D">
        <w:t xml:space="preserve"> </w:t>
      </w:r>
      <w:r w:rsidRPr="00C4031D">
        <w:tab/>
        <w:t xml:space="preserve">See ASA 720 </w:t>
      </w:r>
      <w:r w:rsidRPr="00C4031D">
        <w:rPr>
          <w:i/>
        </w:rPr>
        <w:t>The</w:t>
      </w:r>
      <w:r w:rsidRPr="00C4031D">
        <w:t xml:space="preserve"> </w:t>
      </w:r>
      <w:r w:rsidRPr="00C4031D">
        <w:rPr>
          <w:i/>
        </w:rPr>
        <w:t>Auditor’s</w:t>
      </w:r>
      <w:r w:rsidRPr="00C4031D">
        <w:t xml:space="preserve"> </w:t>
      </w:r>
      <w:r w:rsidRPr="00C4031D">
        <w:rPr>
          <w:i/>
        </w:rPr>
        <w:t>Responsibilities</w:t>
      </w:r>
      <w:r w:rsidRPr="00C4031D">
        <w:t xml:space="preserve"> </w:t>
      </w:r>
      <w:r w:rsidRPr="00C4031D">
        <w:rPr>
          <w:i/>
        </w:rPr>
        <w:t>Relating</w:t>
      </w:r>
      <w:r w:rsidRPr="00C4031D">
        <w:t xml:space="preserve"> </w:t>
      </w:r>
      <w:r w:rsidRPr="00C4031D">
        <w:rPr>
          <w:i/>
        </w:rPr>
        <w:t>to</w:t>
      </w:r>
      <w:r w:rsidRPr="00C4031D">
        <w:t xml:space="preserve"> </w:t>
      </w:r>
      <w:r w:rsidRPr="00C4031D">
        <w:rPr>
          <w:i/>
        </w:rPr>
        <w:t>Other</w:t>
      </w:r>
      <w:r w:rsidRPr="00C4031D">
        <w:t xml:space="preserve"> </w:t>
      </w:r>
      <w:r w:rsidRPr="00C4031D">
        <w:rPr>
          <w:i/>
        </w:rPr>
        <w:t>Information</w:t>
      </w:r>
      <w:r w:rsidRPr="00C4031D">
        <w:t>.</w:t>
      </w:r>
      <w:r w:rsidRPr="00C93CCA">
        <w:t xml:space="preserve"> </w:t>
      </w:r>
    </w:p>
  </w:footnote>
  <w:footnote w:id="7">
    <w:p w14:paraId="264E6E48" w14:textId="77777777" w:rsidR="001E46DC" w:rsidRPr="00C4031D" w:rsidRDefault="001E46DC" w:rsidP="00277BC9">
      <w:pPr>
        <w:pStyle w:val="FootnoteText"/>
      </w:pPr>
      <w:r w:rsidRPr="00277BC9">
        <w:rPr>
          <w:rStyle w:val="FootnoteReference"/>
          <w:sz w:val="16"/>
        </w:rPr>
        <w:footnoteRef/>
      </w:r>
      <w:r w:rsidRPr="00EF66C1">
        <w:rPr>
          <w:sz w:val="20"/>
        </w:rPr>
        <w:tab/>
      </w:r>
      <w:r w:rsidRPr="00C4031D">
        <w:t>The sub</w:t>
      </w:r>
      <w:r w:rsidRPr="00C4031D">
        <w:noBreakHyphen/>
        <w:t xml:space="preserve">title “Report on the </w:t>
      </w:r>
      <w:r w:rsidR="00B16619" w:rsidRPr="00C4031D">
        <w:t xml:space="preserve">Audit of the </w:t>
      </w:r>
      <w:r w:rsidRPr="00C4031D">
        <w:t>Financial Report” is unnecessary in circumstances when the second sub</w:t>
      </w:r>
      <w:r w:rsidRPr="00C4031D">
        <w:noBreakHyphen/>
        <w:t>title “Report on Other Legal and Regulatory Requirements” is not applicable.</w:t>
      </w:r>
    </w:p>
  </w:footnote>
  <w:footnote w:id="8">
    <w:p w14:paraId="29E97F66" w14:textId="77777777" w:rsidR="001E46DC" w:rsidRPr="00C4031D" w:rsidRDefault="001E46DC" w:rsidP="00277BC9">
      <w:pPr>
        <w:pStyle w:val="FootnoteText"/>
      </w:pPr>
      <w:r w:rsidRPr="00C4031D">
        <w:rPr>
          <w:rStyle w:val="FootnoteReference"/>
          <w:sz w:val="16"/>
        </w:rPr>
        <w:sym w:font="Symbol" w:char="F02A"/>
      </w:r>
      <w:r w:rsidRPr="00C4031D">
        <w:t xml:space="preserve"> </w:t>
      </w:r>
      <w:r w:rsidRPr="00C4031D">
        <w:tab/>
        <w:t xml:space="preserve">Or other appropriate </w:t>
      </w:r>
      <w:r w:rsidR="008F1958" w:rsidRPr="00C4031D">
        <w:t>assertion by management or those charged with governance</w:t>
      </w:r>
      <w:r w:rsidRPr="00C4031D">
        <w:t>.</w:t>
      </w:r>
    </w:p>
  </w:footnote>
  <w:footnote w:id="9">
    <w:p w14:paraId="7DC92B37" w14:textId="77777777" w:rsidR="001E46DC" w:rsidRDefault="001E46DC" w:rsidP="00351FA3">
      <w:pPr>
        <w:pStyle w:val="FootnoteText"/>
      </w:pPr>
      <w:r w:rsidRPr="00C4031D">
        <w:rPr>
          <w:rStyle w:val="FootnoteReference"/>
          <w:sz w:val="16"/>
        </w:rPr>
        <w:t>#</w:t>
      </w:r>
      <w:r w:rsidRPr="00C4031D">
        <w:t xml:space="preserve"> </w:t>
      </w:r>
      <w:r w:rsidRPr="00C4031D">
        <w:tab/>
        <w:t>Paragraph 22 of ASA</w:t>
      </w:r>
      <w:r w:rsidR="009E1B6B" w:rsidRPr="00C4031D">
        <w:t xml:space="preserve"> </w:t>
      </w:r>
      <w:r w:rsidRPr="00C4031D">
        <w:t xml:space="preserve">720 requires the auditor to consider the implications for the other information statement of a matter giving rise to a qualified or adverse opinion in accordance with ASA 705.  See ASA 720, Appendix </w:t>
      </w:r>
      <w:r w:rsidR="007D40E0" w:rsidRPr="00C4031D">
        <w:t>3</w:t>
      </w:r>
      <w:r w:rsidRPr="00C4031D">
        <w:t>,</w:t>
      </w:r>
      <w:r w:rsidR="007B2B06" w:rsidRPr="00C4031D">
        <w:t xml:space="preserve"> </w:t>
      </w:r>
      <w:r w:rsidR="003F466C" w:rsidRPr="00C4031D">
        <w:t xml:space="preserve">[Aus] </w:t>
      </w:r>
      <w:r w:rsidRPr="00C4031D">
        <w:t>Illustration 6</w:t>
      </w:r>
      <w:r w:rsidR="00952CB5" w:rsidRPr="00C4031D">
        <w:t>A</w:t>
      </w:r>
      <w:r w:rsidRPr="00C4031D">
        <w:t>, for circumstances where the matter giving rise to a qualified opinion impacts on the conclusion provided on the other information.</w:t>
      </w:r>
    </w:p>
  </w:footnote>
  <w:footnote w:id="10">
    <w:p w14:paraId="298BE1E8" w14:textId="77777777" w:rsidR="001E46DC" w:rsidRPr="00C4031D" w:rsidRDefault="001E46DC">
      <w:pPr>
        <w:pStyle w:val="FootnoteText"/>
      </w:pPr>
      <w:r w:rsidRPr="00C4031D">
        <w:rPr>
          <w:rStyle w:val="FootnoteReference"/>
          <w:sz w:val="16"/>
        </w:rPr>
        <w:footnoteRef/>
      </w:r>
      <w:r w:rsidRPr="00C4031D">
        <w:t xml:space="preserve"> </w:t>
      </w:r>
      <w:r w:rsidRPr="00C4031D">
        <w:tab/>
        <w:t xml:space="preserve">Throughout these illustrative auditor’s reports, </w:t>
      </w:r>
      <w:r w:rsidR="00B16619" w:rsidRPr="00C4031D">
        <w:t>t</w:t>
      </w:r>
      <w:r w:rsidRPr="00C4031D">
        <w:t>he terms management and those charged with governance may need to be replaced by another term that is appropriate in the context of the legal framework in the particular jurisdiction.</w:t>
      </w:r>
    </w:p>
  </w:footnote>
  <w:footnote w:id="11">
    <w:p w14:paraId="76663DBF" w14:textId="77777777" w:rsidR="001E46DC" w:rsidRPr="00C4031D" w:rsidRDefault="001E46DC" w:rsidP="00277BC9">
      <w:pPr>
        <w:pStyle w:val="FootnoteText"/>
      </w:pPr>
      <w:r w:rsidRPr="00C4031D">
        <w:rPr>
          <w:rStyle w:val="FootnoteReference"/>
          <w:sz w:val="16"/>
        </w:rPr>
        <w:sym w:font="Symbol" w:char="F02A"/>
      </w:r>
      <w:r w:rsidRPr="00C4031D">
        <w:t xml:space="preserve"> </w:t>
      </w:r>
      <w:r w:rsidRPr="00C4031D">
        <w:tab/>
        <w:t>The auditor’s signature is either in the name of the audit firm, the personal name of the auditor or both, as appropriate.</w:t>
      </w:r>
    </w:p>
  </w:footnote>
  <w:footnote w:id="12">
    <w:p w14:paraId="4B5BB8A1" w14:textId="77777777" w:rsidR="001E46DC" w:rsidRDefault="001E46DC" w:rsidP="00277BC9">
      <w:pPr>
        <w:pStyle w:val="FootnoteText"/>
      </w:pPr>
      <w:r w:rsidRPr="00C4031D">
        <w:rPr>
          <w:rStyle w:val="FootnoteReference"/>
          <w:sz w:val="16"/>
        </w:rPr>
        <w:sym w:font="Symbol" w:char="F023"/>
      </w:r>
      <w:r w:rsidRPr="00C4031D">
        <w:t xml:space="preserve"> </w:t>
      </w:r>
      <w:r w:rsidRPr="00C4031D">
        <w:tab/>
        <w:t>The date of the auditor’s report is the date the auditor signs the report.</w:t>
      </w:r>
    </w:p>
  </w:footnote>
  <w:footnote w:id="13">
    <w:p w14:paraId="18C6D63A" w14:textId="77777777" w:rsidR="00351FA3" w:rsidRDefault="00351FA3" w:rsidP="00277BC9">
      <w:pPr>
        <w:pStyle w:val="FootnoteText"/>
      </w:pPr>
      <w:r w:rsidRPr="00351FA3">
        <w:rPr>
          <w:rStyle w:val="FootnoteReference"/>
          <w:sz w:val="16"/>
        </w:rPr>
        <w:t>*</w:t>
      </w:r>
      <w:r>
        <w:t xml:space="preserve"> </w:t>
      </w:r>
      <w:r>
        <w:tab/>
        <w:t>[Footnotes d</w:t>
      </w:r>
      <w:r w:rsidRPr="00660EE7">
        <w:t>eleted by the AUASB</w:t>
      </w:r>
      <w:r>
        <w:t>.  Refer text box above.</w:t>
      </w:r>
      <w:r w:rsidRPr="00660EE7">
        <w:t>]</w:t>
      </w:r>
    </w:p>
  </w:footnote>
  <w:footnote w:id="14">
    <w:p w14:paraId="1F152B77" w14:textId="77777777" w:rsidR="001E46DC" w:rsidRPr="00C4031D" w:rsidRDefault="001E46DC" w:rsidP="00D51345">
      <w:pPr>
        <w:pStyle w:val="FootnoteText"/>
      </w:pPr>
      <w:r w:rsidRPr="00C4031D">
        <w:rPr>
          <w:rStyle w:val="FootnoteReference"/>
          <w:sz w:val="16"/>
        </w:rPr>
        <w:footnoteRef/>
      </w:r>
      <w:r w:rsidR="00C976E8">
        <w:t xml:space="preserve"> </w:t>
      </w:r>
      <w:r w:rsidR="00C976E8">
        <w:tab/>
        <w:t>See ASA 600</w:t>
      </w:r>
      <w:r w:rsidRPr="00C4031D">
        <w:t xml:space="preserve"> </w:t>
      </w:r>
      <w:r w:rsidRPr="00C4031D">
        <w:rPr>
          <w:i/>
        </w:rPr>
        <w:t>Special Considerations—Audits of a Group Financial Report (Including the Work of Component Auditors)</w:t>
      </w:r>
      <w:r w:rsidRPr="00C4031D">
        <w:t>.</w:t>
      </w:r>
    </w:p>
  </w:footnote>
  <w:footnote w:id="15">
    <w:p w14:paraId="0A313725" w14:textId="77777777" w:rsidR="001E46DC" w:rsidRPr="00C4031D" w:rsidRDefault="001E46DC" w:rsidP="00D51345">
      <w:pPr>
        <w:pStyle w:val="FootnoteText"/>
      </w:pPr>
      <w:r w:rsidRPr="00C4031D">
        <w:rPr>
          <w:rStyle w:val="FootnoteReference"/>
          <w:sz w:val="16"/>
        </w:rPr>
        <w:footnoteRef/>
      </w:r>
      <w:r w:rsidR="00C976E8">
        <w:t xml:space="preserve"> </w:t>
      </w:r>
      <w:r w:rsidR="00C976E8">
        <w:tab/>
        <w:t>See ASA 210</w:t>
      </w:r>
      <w:r w:rsidRPr="00C4031D">
        <w:t xml:space="preserve"> </w:t>
      </w:r>
      <w:r w:rsidRPr="00C4031D">
        <w:rPr>
          <w:i/>
        </w:rPr>
        <w:t>Agreeing the Terms of Audit Engagements</w:t>
      </w:r>
      <w:r w:rsidRPr="00C4031D">
        <w:t>.</w:t>
      </w:r>
    </w:p>
  </w:footnote>
  <w:footnote w:id="16">
    <w:p w14:paraId="1D1D41C9" w14:textId="77777777" w:rsidR="001E46DC" w:rsidRPr="00C4031D" w:rsidRDefault="001E46DC" w:rsidP="00D51345">
      <w:pPr>
        <w:pStyle w:val="FootnoteText"/>
      </w:pPr>
      <w:r w:rsidRPr="00C4031D">
        <w:rPr>
          <w:rStyle w:val="FootnoteReference"/>
          <w:sz w:val="16"/>
        </w:rPr>
        <w:footnoteRef/>
      </w:r>
      <w:r w:rsidR="00F61551">
        <w:t xml:space="preserve"> </w:t>
      </w:r>
      <w:r w:rsidR="00F61551">
        <w:tab/>
        <w:t>See ASA 570</w:t>
      </w:r>
      <w:r w:rsidRPr="00C4031D">
        <w:t xml:space="preserve"> </w:t>
      </w:r>
      <w:r w:rsidRPr="00C4031D">
        <w:rPr>
          <w:i/>
        </w:rPr>
        <w:t>Going</w:t>
      </w:r>
      <w:r w:rsidRPr="00C4031D">
        <w:t xml:space="preserve"> </w:t>
      </w:r>
      <w:r w:rsidRPr="00C4031D">
        <w:rPr>
          <w:i/>
        </w:rPr>
        <w:t>Concern</w:t>
      </w:r>
      <w:r w:rsidRPr="00C4031D">
        <w:t>.</w:t>
      </w:r>
    </w:p>
  </w:footnote>
  <w:footnote w:id="17">
    <w:p w14:paraId="06719078" w14:textId="77777777" w:rsidR="001E46DC" w:rsidRPr="00C4031D" w:rsidRDefault="001E46DC" w:rsidP="00D51345">
      <w:pPr>
        <w:pStyle w:val="FootnoteText"/>
      </w:pPr>
      <w:r w:rsidRPr="00C4031D">
        <w:rPr>
          <w:rStyle w:val="FootnoteReference"/>
          <w:sz w:val="16"/>
        </w:rPr>
        <w:footnoteRef/>
      </w:r>
      <w:r w:rsidRPr="00C4031D">
        <w:t xml:space="preserve"> </w:t>
      </w:r>
      <w:r w:rsidRPr="00C4031D">
        <w:tab/>
        <w:t xml:space="preserve">See ASA 701 </w:t>
      </w:r>
      <w:r w:rsidRPr="00C4031D">
        <w:rPr>
          <w:i/>
        </w:rPr>
        <w:t>Communicating</w:t>
      </w:r>
      <w:r w:rsidRPr="00C4031D">
        <w:t xml:space="preserve"> </w:t>
      </w:r>
      <w:r w:rsidRPr="00C4031D">
        <w:rPr>
          <w:i/>
        </w:rPr>
        <w:t>Key</w:t>
      </w:r>
      <w:r w:rsidRPr="00C4031D">
        <w:t xml:space="preserve"> </w:t>
      </w:r>
      <w:r w:rsidRPr="00C4031D">
        <w:rPr>
          <w:i/>
        </w:rPr>
        <w:t>Audit</w:t>
      </w:r>
      <w:r w:rsidRPr="00C4031D">
        <w:t xml:space="preserve"> </w:t>
      </w:r>
      <w:r w:rsidRPr="00C4031D">
        <w:rPr>
          <w:i/>
        </w:rPr>
        <w:t>Matters</w:t>
      </w:r>
      <w:r w:rsidRPr="00C4031D">
        <w:t xml:space="preserve"> </w:t>
      </w:r>
      <w:r w:rsidRPr="00C4031D">
        <w:rPr>
          <w:i/>
        </w:rPr>
        <w:t>in</w:t>
      </w:r>
      <w:r w:rsidRPr="00C4031D">
        <w:t xml:space="preserve"> </w:t>
      </w:r>
      <w:r w:rsidRPr="00C4031D">
        <w:rPr>
          <w:i/>
        </w:rPr>
        <w:t>the</w:t>
      </w:r>
      <w:r w:rsidRPr="00C4031D">
        <w:t xml:space="preserve"> </w:t>
      </w:r>
      <w:r w:rsidRPr="00C4031D">
        <w:rPr>
          <w:i/>
        </w:rPr>
        <w:t>Independent</w:t>
      </w:r>
      <w:r w:rsidRPr="00C4031D">
        <w:t xml:space="preserve"> </w:t>
      </w:r>
      <w:r w:rsidRPr="00C4031D">
        <w:rPr>
          <w:i/>
        </w:rPr>
        <w:t>Auditor’s</w:t>
      </w:r>
      <w:r w:rsidRPr="00C4031D">
        <w:t xml:space="preserve"> </w:t>
      </w:r>
      <w:r w:rsidRPr="00C4031D">
        <w:rPr>
          <w:i/>
        </w:rPr>
        <w:t>Report</w:t>
      </w:r>
      <w:r w:rsidRPr="00C4031D">
        <w:t>.</w:t>
      </w:r>
    </w:p>
  </w:footnote>
  <w:footnote w:id="18">
    <w:p w14:paraId="4DBFF3E8" w14:textId="77777777" w:rsidR="001E46DC" w:rsidRPr="00C93CCA" w:rsidRDefault="001E46DC" w:rsidP="00CB4915">
      <w:pPr>
        <w:pStyle w:val="FootnoteText"/>
      </w:pPr>
      <w:r w:rsidRPr="00C4031D">
        <w:rPr>
          <w:rStyle w:val="FootnoteReference"/>
          <w:sz w:val="16"/>
        </w:rPr>
        <w:t>*</w:t>
      </w:r>
      <w:r w:rsidRPr="00C4031D">
        <w:t xml:space="preserve"> </w:t>
      </w:r>
      <w:r w:rsidRPr="00C4031D">
        <w:tab/>
        <w:t xml:space="preserve">See ASA 720 </w:t>
      </w:r>
      <w:r w:rsidRPr="00C4031D">
        <w:rPr>
          <w:i/>
        </w:rPr>
        <w:t>The</w:t>
      </w:r>
      <w:r w:rsidRPr="00C4031D">
        <w:t xml:space="preserve"> </w:t>
      </w:r>
      <w:r w:rsidRPr="00C4031D">
        <w:rPr>
          <w:i/>
        </w:rPr>
        <w:t>Auditor’s</w:t>
      </w:r>
      <w:r w:rsidRPr="00C4031D">
        <w:t xml:space="preserve"> </w:t>
      </w:r>
      <w:r w:rsidRPr="00C4031D">
        <w:rPr>
          <w:i/>
        </w:rPr>
        <w:t>Responsibilities</w:t>
      </w:r>
      <w:r w:rsidRPr="00C4031D">
        <w:t xml:space="preserve"> </w:t>
      </w:r>
      <w:r w:rsidRPr="00C4031D">
        <w:rPr>
          <w:i/>
        </w:rPr>
        <w:t>Relating</w:t>
      </w:r>
      <w:r w:rsidRPr="00C4031D">
        <w:t xml:space="preserve"> </w:t>
      </w:r>
      <w:r w:rsidRPr="00C4031D">
        <w:rPr>
          <w:i/>
        </w:rPr>
        <w:t>to</w:t>
      </w:r>
      <w:r w:rsidRPr="00C4031D">
        <w:t xml:space="preserve"> </w:t>
      </w:r>
      <w:r w:rsidRPr="00C4031D">
        <w:rPr>
          <w:i/>
        </w:rPr>
        <w:t>Other</w:t>
      </w:r>
      <w:r w:rsidRPr="00C4031D">
        <w:t xml:space="preserve"> </w:t>
      </w:r>
      <w:r w:rsidRPr="00C4031D">
        <w:rPr>
          <w:i/>
        </w:rPr>
        <w:t>Information</w:t>
      </w:r>
      <w:r w:rsidRPr="00C4031D">
        <w:t>.</w:t>
      </w:r>
      <w:r w:rsidRPr="00C93CCA">
        <w:t xml:space="preserve"> </w:t>
      </w:r>
    </w:p>
  </w:footnote>
  <w:footnote w:id="19">
    <w:p w14:paraId="57FCDA7B" w14:textId="77777777" w:rsidR="001E46DC" w:rsidRDefault="001E46DC" w:rsidP="00277BC9">
      <w:pPr>
        <w:pStyle w:val="FootnoteText"/>
      </w:pPr>
      <w:r w:rsidRPr="00277BC9">
        <w:rPr>
          <w:rStyle w:val="FootnoteReference"/>
          <w:sz w:val="16"/>
        </w:rPr>
        <w:sym w:font="Symbol" w:char="F02A"/>
      </w:r>
      <w:r>
        <w:t xml:space="preserve"> </w:t>
      </w:r>
      <w:r>
        <w:tab/>
        <w:t>The sub</w:t>
      </w:r>
      <w:r>
        <w:noBreakHyphen/>
        <w:t xml:space="preserve">title “Report on </w:t>
      </w:r>
      <w:r w:rsidRPr="00C4031D">
        <w:t xml:space="preserve">the </w:t>
      </w:r>
      <w:r w:rsidR="00E75F2A" w:rsidRPr="00C4031D">
        <w:t xml:space="preserve">Audit of the </w:t>
      </w:r>
      <w:r w:rsidRPr="00C4031D">
        <w:t>Financial Report” is unnecessary in circumstances when the second sub</w:t>
      </w:r>
      <w:r w:rsidRPr="00C4031D">
        <w:noBreakHyphen/>
        <w:t>title “Report on Other Legal and Regulatory Requirements”, or other appropriate</w:t>
      </w:r>
      <w:r>
        <w:t xml:space="preserve"> sub</w:t>
      </w:r>
      <w:r>
        <w:noBreakHyphen/>
        <w:t>title, is not applicable.</w:t>
      </w:r>
    </w:p>
  </w:footnote>
  <w:footnote w:id="20">
    <w:p w14:paraId="1A567A4D" w14:textId="77777777" w:rsidR="00906B81" w:rsidRDefault="00906B81" w:rsidP="004F4AA6">
      <w:pPr>
        <w:pStyle w:val="FootnoteText"/>
      </w:pPr>
      <w:r w:rsidRPr="00906B81">
        <w:rPr>
          <w:rStyle w:val="FootnoteReference"/>
          <w:sz w:val="16"/>
        </w:rPr>
        <w:t>#</w:t>
      </w:r>
      <w:r>
        <w:t xml:space="preserve"> </w:t>
      </w:r>
      <w:r>
        <w:tab/>
      </w:r>
      <w:r w:rsidRPr="00E75F2A">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p>
  </w:footnote>
  <w:footnote w:id="21">
    <w:p w14:paraId="029E98BE" w14:textId="77777777" w:rsidR="00980CB3" w:rsidRPr="00C4031D" w:rsidRDefault="00980CB3" w:rsidP="00E27AF3">
      <w:pPr>
        <w:pStyle w:val="FootnoteText"/>
      </w:pPr>
      <w:r w:rsidRPr="00C4031D">
        <w:rPr>
          <w:rStyle w:val="FootnoteReference"/>
          <w:sz w:val="16"/>
        </w:rPr>
        <w:t>†</w:t>
      </w:r>
      <w:r w:rsidRPr="00C4031D">
        <w:t xml:space="preserve"> </w:t>
      </w:r>
      <w:r w:rsidRPr="00C4031D">
        <w:tab/>
        <w:t>Paragraph 22 of ASA</w:t>
      </w:r>
      <w:r w:rsidR="00A84ABF">
        <w:t> </w:t>
      </w:r>
      <w:r w:rsidRPr="00C4031D">
        <w:t xml:space="preserve">720 requires the auditor to consider the implications for the other information statement of a matter giving rise to a qualified or adverse opinion in accordance with ASA 705.  See </w:t>
      </w:r>
      <w:r w:rsidR="00193EE1" w:rsidRPr="00C4031D">
        <w:t>ASA 720, Appendix 3</w:t>
      </w:r>
      <w:r w:rsidRPr="00C4031D">
        <w:t>, [Aus] Illustration 6A, for circumstances where the matter giving rise to a qualified opinion impacts on the conclusion provided on the other information.</w:t>
      </w:r>
      <w:r w:rsidRPr="00C4031D">
        <w:tab/>
      </w:r>
    </w:p>
  </w:footnote>
  <w:footnote w:id="22">
    <w:p w14:paraId="1956706A" w14:textId="77777777" w:rsidR="001E46DC" w:rsidRDefault="001E46DC" w:rsidP="00277BC9">
      <w:pPr>
        <w:pStyle w:val="FootnoteText"/>
      </w:pPr>
      <w:r w:rsidRPr="00C4031D">
        <w:rPr>
          <w:rStyle w:val="FootnoteReference"/>
          <w:sz w:val="16"/>
        </w:rPr>
        <w:sym w:font="Symbol" w:char="F02A"/>
      </w:r>
      <w:r w:rsidRPr="00C4031D">
        <w:t xml:space="preserve"> </w:t>
      </w:r>
      <w:r w:rsidRPr="00C4031D">
        <w:tab/>
        <w:t>The Report on the Remuneration Report is an example of “other reporting responsibilities”.  Any additional “other reporting responsibilities” that the auditor needs to address, will also be included in a separate section of the auditor’s report following the opinion paragraph on the financial report.  Under paragraph 38 of ASA 700, the sub</w:t>
      </w:r>
      <w:r w:rsidRPr="00C4031D">
        <w:noBreakHyphen/>
        <w:t>title “Report on Other Legal and Regulatory Requirements” or other sub</w:t>
      </w:r>
      <w:r w:rsidRPr="00C4031D">
        <w:noBreakHyphen/>
        <w:t>title as appropriate to the section, is used.</w:t>
      </w:r>
    </w:p>
  </w:footnote>
  <w:footnote w:id="23">
    <w:p w14:paraId="24235F9D" w14:textId="77777777" w:rsidR="001E46DC" w:rsidRDefault="001E46DC" w:rsidP="00277BC9">
      <w:pPr>
        <w:pStyle w:val="FootnoteText"/>
      </w:pPr>
      <w:r w:rsidRPr="00277BC9">
        <w:rPr>
          <w:rStyle w:val="FootnoteReference"/>
          <w:sz w:val="16"/>
        </w:rPr>
        <w:sym w:font="Symbol" w:char="F023"/>
      </w:r>
      <w:r>
        <w:t xml:space="preserve"> </w:t>
      </w:r>
      <w:r>
        <w:tab/>
        <w:t>The auditor’s report needs to be signed in one or more of the following ways: name of the audit firm, the name of the audit company or the personal name of the auditor as appropriate.</w:t>
      </w:r>
    </w:p>
  </w:footnote>
  <w:footnote w:id="24">
    <w:p w14:paraId="7C17D0FD" w14:textId="77777777" w:rsidR="00F032CE" w:rsidRDefault="00F032CE" w:rsidP="00277BC9">
      <w:pPr>
        <w:pStyle w:val="FootnoteText"/>
      </w:pPr>
      <w:r w:rsidRPr="00F032CE">
        <w:rPr>
          <w:rStyle w:val="FootnoteReference"/>
          <w:sz w:val="16"/>
        </w:rPr>
        <w:t>§</w:t>
      </w:r>
      <w:r>
        <w:t xml:space="preserve"> </w:t>
      </w:r>
      <w:r>
        <w:tab/>
        <w:t>The date of the auditor’s report is the date the auditor signs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B6BC" w14:textId="77777777" w:rsidR="001E46DC" w:rsidRPr="00B73206" w:rsidRDefault="001E46DC" w:rsidP="00B7320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D14" w14:textId="77777777" w:rsidR="001E46DC" w:rsidRDefault="001E46DC">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97F06210"/>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022A6"/>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EB585B"/>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13"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1819BA"/>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8" w15:restartNumberingAfterBreak="0">
    <w:nsid w:val="648D53F6"/>
    <w:multiLevelType w:val="multilevel"/>
    <w:tmpl w:val="1A8AA198"/>
    <w:numStyleLink w:val="AUASBListBullets"/>
  </w:abstractNum>
  <w:abstractNum w:abstractNumId="19"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41BA9"/>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0"/>
  </w:num>
  <w:num w:numId="3">
    <w:abstractNumId w:val="15"/>
  </w:num>
  <w:num w:numId="4">
    <w:abstractNumId w:val="0"/>
  </w:num>
  <w:num w:numId="5">
    <w:abstractNumId w:val="9"/>
  </w:num>
  <w:num w:numId="6">
    <w:abstractNumId w:val="8"/>
  </w:num>
  <w:num w:numId="7">
    <w:abstractNumId w:val="6"/>
  </w:num>
  <w:num w:numId="8">
    <w:abstractNumId w:val="14"/>
  </w:num>
  <w:num w:numId="9">
    <w:abstractNumId w:val="25"/>
  </w:num>
  <w:num w:numId="10">
    <w:abstractNumId w:val="11"/>
  </w:num>
  <w:num w:numId="11">
    <w:abstractNumId w:val="1"/>
  </w:num>
  <w:num w:numId="12">
    <w:abstractNumId w:val="24"/>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1"/>
  </w:num>
  <w:num w:numId="24">
    <w:abstractNumId w:val="24"/>
  </w:num>
  <w:num w:numId="25">
    <w:abstractNumId w:val="22"/>
  </w:num>
  <w:num w:numId="26">
    <w:abstractNumId w:val="16"/>
  </w:num>
  <w:num w:numId="27">
    <w:abstractNumId w:val="16"/>
  </w:num>
  <w:num w:numId="28">
    <w:abstractNumId w:val="16"/>
  </w:num>
  <w:num w:numId="29">
    <w:abstractNumId w:val="14"/>
  </w:num>
  <w:num w:numId="30">
    <w:abstractNumId w:val="19"/>
  </w:num>
  <w:num w:numId="31">
    <w:abstractNumId w:val="19"/>
  </w:num>
  <w:num w:numId="32">
    <w:abstractNumId w:val="19"/>
  </w:num>
  <w:num w:numId="33">
    <w:abstractNumId w:val="2"/>
  </w:num>
  <w:num w:numId="34">
    <w:abstractNumId w:val="3"/>
  </w:num>
  <w:num w:numId="35">
    <w:abstractNumId w:val="18"/>
  </w:num>
  <w:num w:numId="36">
    <w:abstractNumId w:val="23"/>
  </w:num>
  <w:num w:numId="37">
    <w:abstractNumId w:val="4"/>
  </w:num>
  <w:num w:numId="38">
    <w:abstractNumId w:val="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2"/>
  </w:num>
  <w:num w:numId="44">
    <w:abstractNumId w:val="21"/>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2">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0A"/>
    <w:rsid w:val="0000664A"/>
    <w:rsid w:val="00015F83"/>
    <w:rsid w:val="00017A0E"/>
    <w:rsid w:val="00026B75"/>
    <w:rsid w:val="00034009"/>
    <w:rsid w:val="00046FB7"/>
    <w:rsid w:val="00056ED0"/>
    <w:rsid w:val="00061C75"/>
    <w:rsid w:val="0008431E"/>
    <w:rsid w:val="00090475"/>
    <w:rsid w:val="00090F5F"/>
    <w:rsid w:val="00097BDA"/>
    <w:rsid w:val="000A082A"/>
    <w:rsid w:val="000A2F4F"/>
    <w:rsid w:val="000A628D"/>
    <w:rsid w:val="000B579F"/>
    <w:rsid w:val="000B61B7"/>
    <w:rsid w:val="000C089B"/>
    <w:rsid w:val="000D1A44"/>
    <w:rsid w:val="000D243E"/>
    <w:rsid w:val="000D4517"/>
    <w:rsid w:val="000E3E96"/>
    <w:rsid w:val="000E4127"/>
    <w:rsid w:val="000F2AF3"/>
    <w:rsid w:val="000F4660"/>
    <w:rsid w:val="000F57E4"/>
    <w:rsid w:val="00105B19"/>
    <w:rsid w:val="001133B4"/>
    <w:rsid w:val="00115E2C"/>
    <w:rsid w:val="00184705"/>
    <w:rsid w:val="00193EE1"/>
    <w:rsid w:val="001B2BDF"/>
    <w:rsid w:val="001B5857"/>
    <w:rsid w:val="001C00FE"/>
    <w:rsid w:val="001C671A"/>
    <w:rsid w:val="001C6A39"/>
    <w:rsid w:val="001D6F8F"/>
    <w:rsid w:val="001E0633"/>
    <w:rsid w:val="001E46DC"/>
    <w:rsid w:val="001F1F96"/>
    <w:rsid w:val="00222D31"/>
    <w:rsid w:val="00225B8E"/>
    <w:rsid w:val="00235696"/>
    <w:rsid w:val="00237187"/>
    <w:rsid w:val="00237F0A"/>
    <w:rsid w:val="00251C4D"/>
    <w:rsid w:val="0025349C"/>
    <w:rsid w:val="00262DBD"/>
    <w:rsid w:val="00270E3E"/>
    <w:rsid w:val="00274FCE"/>
    <w:rsid w:val="00277A56"/>
    <w:rsid w:val="00277BC9"/>
    <w:rsid w:val="00281600"/>
    <w:rsid w:val="00287B6D"/>
    <w:rsid w:val="00287D3A"/>
    <w:rsid w:val="00293EDF"/>
    <w:rsid w:val="002A61AE"/>
    <w:rsid w:val="002C67E0"/>
    <w:rsid w:val="002C7384"/>
    <w:rsid w:val="002D3424"/>
    <w:rsid w:val="002D65BC"/>
    <w:rsid w:val="002E32C6"/>
    <w:rsid w:val="002E6942"/>
    <w:rsid w:val="002F0724"/>
    <w:rsid w:val="002F16B2"/>
    <w:rsid w:val="002F6C85"/>
    <w:rsid w:val="00301C19"/>
    <w:rsid w:val="00306690"/>
    <w:rsid w:val="00316D36"/>
    <w:rsid w:val="00317DCF"/>
    <w:rsid w:val="003220EE"/>
    <w:rsid w:val="00324E2F"/>
    <w:rsid w:val="00331C6B"/>
    <w:rsid w:val="00334F5D"/>
    <w:rsid w:val="00351FA3"/>
    <w:rsid w:val="003522A7"/>
    <w:rsid w:val="00360C08"/>
    <w:rsid w:val="0036385A"/>
    <w:rsid w:val="003663DE"/>
    <w:rsid w:val="003678EA"/>
    <w:rsid w:val="00385CEC"/>
    <w:rsid w:val="003929D0"/>
    <w:rsid w:val="003A03DE"/>
    <w:rsid w:val="003A0F68"/>
    <w:rsid w:val="003B0290"/>
    <w:rsid w:val="003C6406"/>
    <w:rsid w:val="003D01CE"/>
    <w:rsid w:val="003D61FC"/>
    <w:rsid w:val="003D6594"/>
    <w:rsid w:val="003D7E0C"/>
    <w:rsid w:val="003F2D54"/>
    <w:rsid w:val="003F466C"/>
    <w:rsid w:val="004026E4"/>
    <w:rsid w:val="00403326"/>
    <w:rsid w:val="00404E72"/>
    <w:rsid w:val="004123DE"/>
    <w:rsid w:val="004230B8"/>
    <w:rsid w:val="00433FD3"/>
    <w:rsid w:val="00441E07"/>
    <w:rsid w:val="00453D65"/>
    <w:rsid w:val="0045605A"/>
    <w:rsid w:val="00470C0A"/>
    <w:rsid w:val="004728B1"/>
    <w:rsid w:val="00482046"/>
    <w:rsid w:val="0049402A"/>
    <w:rsid w:val="004A003C"/>
    <w:rsid w:val="004A4126"/>
    <w:rsid w:val="004C3988"/>
    <w:rsid w:val="004C57B0"/>
    <w:rsid w:val="004C6639"/>
    <w:rsid w:val="004D3084"/>
    <w:rsid w:val="004D4D03"/>
    <w:rsid w:val="004D76EE"/>
    <w:rsid w:val="004E10A2"/>
    <w:rsid w:val="004F4AA6"/>
    <w:rsid w:val="00501188"/>
    <w:rsid w:val="00511B4B"/>
    <w:rsid w:val="005213D3"/>
    <w:rsid w:val="00521E3C"/>
    <w:rsid w:val="00524AE9"/>
    <w:rsid w:val="0052624B"/>
    <w:rsid w:val="005330B1"/>
    <w:rsid w:val="00534AE8"/>
    <w:rsid w:val="00546141"/>
    <w:rsid w:val="00550065"/>
    <w:rsid w:val="00575E6B"/>
    <w:rsid w:val="00590D81"/>
    <w:rsid w:val="005A3171"/>
    <w:rsid w:val="005A5582"/>
    <w:rsid w:val="005B5457"/>
    <w:rsid w:val="005C5DF1"/>
    <w:rsid w:val="005D3701"/>
    <w:rsid w:val="005D7C4D"/>
    <w:rsid w:val="005D7EB8"/>
    <w:rsid w:val="005E2E37"/>
    <w:rsid w:val="005E74D4"/>
    <w:rsid w:val="005F44AA"/>
    <w:rsid w:val="005F6F86"/>
    <w:rsid w:val="00600F6F"/>
    <w:rsid w:val="006014A0"/>
    <w:rsid w:val="0060341E"/>
    <w:rsid w:val="00612402"/>
    <w:rsid w:val="00612F73"/>
    <w:rsid w:val="006134F8"/>
    <w:rsid w:val="00614B2C"/>
    <w:rsid w:val="006178EF"/>
    <w:rsid w:val="00626806"/>
    <w:rsid w:val="00627868"/>
    <w:rsid w:val="00635B00"/>
    <w:rsid w:val="0063639C"/>
    <w:rsid w:val="006375F2"/>
    <w:rsid w:val="00643057"/>
    <w:rsid w:val="00643692"/>
    <w:rsid w:val="00650DD4"/>
    <w:rsid w:val="006538C2"/>
    <w:rsid w:val="00654834"/>
    <w:rsid w:val="00660A84"/>
    <w:rsid w:val="0066401C"/>
    <w:rsid w:val="006667D5"/>
    <w:rsid w:val="006909F2"/>
    <w:rsid w:val="006923C1"/>
    <w:rsid w:val="00694E66"/>
    <w:rsid w:val="006A1F8C"/>
    <w:rsid w:val="006A4F92"/>
    <w:rsid w:val="006B1ADE"/>
    <w:rsid w:val="006B694D"/>
    <w:rsid w:val="006B7C41"/>
    <w:rsid w:val="006D2111"/>
    <w:rsid w:val="006D342D"/>
    <w:rsid w:val="006E078A"/>
    <w:rsid w:val="006E3426"/>
    <w:rsid w:val="006E419A"/>
    <w:rsid w:val="006E679D"/>
    <w:rsid w:val="00701FC3"/>
    <w:rsid w:val="00722F13"/>
    <w:rsid w:val="00743E62"/>
    <w:rsid w:val="007449B9"/>
    <w:rsid w:val="00761C9D"/>
    <w:rsid w:val="00770062"/>
    <w:rsid w:val="00774843"/>
    <w:rsid w:val="00782360"/>
    <w:rsid w:val="007B2B06"/>
    <w:rsid w:val="007B449F"/>
    <w:rsid w:val="007B5ACC"/>
    <w:rsid w:val="007B60DF"/>
    <w:rsid w:val="007C1417"/>
    <w:rsid w:val="007C2C20"/>
    <w:rsid w:val="007C4C65"/>
    <w:rsid w:val="007D2812"/>
    <w:rsid w:val="007D40E0"/>
    <w:rsid w:val="007D45AA"/>
    <w:rsid w:val="007D69C5"/>
    <w:rsid w:val="007F0D16"/>
    <w:rsid w:val="00806A9F"/>
    <w:rsid w:val="00827AE5"/>
    <w:rsid w:val="00833B1C"/>
    <w:rsid w:val="008352FC"/>
    <w:rsid w:val="00836E68"/>
    <w:rsid w:val="008465BD"/>
    <w:rsid w:val="008546BE"/>
    <w:rsid w:val="00857A6F"/>
    <w:rsid w:val="00860D26"/>
    <w:rsid w:val="00873675"/>
    <w:rsid w:val="008759A5"/>
    <w:rsid w:val="00880310"/>
    <w:rsid w:val="008809E8"/>
    <w:rsid w:val="00882D3F"/>
    <w:rsid w:val="008844E4"/>
    <w:rsid w:val="00886A3C"/>
    <w:rsid w:val="00897B8E"/>
    <w:rsid w:val="008B44C2"/>
    <w:rsid w:val="008B6960"/>
    <w:rsid w:val="008B76EB"/>
    <w:rsid w:val="008C412D"/>
    <w:rsid w:val="008D15F1"/>
    <w:rsid w:val="008E386B"/>
    <w:rsid w:val="008F1958"/>
    <w:rsid w:val="008F418D"/>
    <w:rsid w:val="00906B81"/>
    <w:rsid w:val="009073F8"/>
    <w:rsid w:val="00921C03"/>
    <w:rsid w:val="00926344"/>
    <w:rsid w:val="00931D42"/>
    <w:rsid w:val="00945532"/>
    <w:rsid w:val="00952CB5"/>
    <w:rsid w:val="00960A96"/>
    <w:rsid w:val="00963076"/>
    <w:rsid w:val="009634E9"/>
    <w:rsid w:val="009641D1"/>
    <w:rsid w:val="009771ED"/>
    <w:rsid w:val="00980CB3"/>
    <w:rsid w:val="00983F64"/>
    <w:rsid w:val="009842C7"/>
    <w:rsid w:val="00985859"/>
    <w:rsid w:val="00986434"/>
    <w:rsid w:val="00995236"/>
    <w:rsid w:val="00995437"/>
    <w:rsid w:val="009960AD"/>
    <w:rsid w:val="009A7ECB"/>
    <w:rsid w:val="009B1B33"/>
    <w:rsid w:val="009B2CE2"/>
    <w:rsid w:val="009C471A"/>
    <w:rsid w:val="009D2955"/>
    <w:rsid w:val="009D35C2"/>
    <w:rsid w:val="009E1B6B"/>
    <w:rsid w:val="009E30F4"/>
    <w:rsid w:val="009F566D"/>
    <w:rsid w:val="009F6A28"/>
    <w:rsid w:val="00A04AC3"/>
    <w:rsid w:val="00A134B2"/>
    <w:rsid w:val="00A13EDD"/>
    <w:rsid w:val="00A22168"/>
    <w:rsid w:val="00A22AC3"/>
    <w:rsid w:val="00A234CF"/>
    <w:rsid w:val="00A5777C"/>
    <w:rsid w:val="00A64680"/>
    <w:rsid w:val="00A667A4"/>
    <w:rsid w:val="00A84ABF"/>
    <w:rsid w:val="00A8621D"/>
    <w:rsid w:val="00A916E1"/>
    <w:rsid w:val="00AA46D1"/>
    <w:rsid w:val="00AB119F"/>
    <w:rsid w:val="00AD431A"/>
    <w:rsid w:val="00AE0A2A"/>
    <w:rsid w:val="00AE0F34"/>
    <w:rsid w:val="00AE11CD"/>
    <w:rsid w:val="00AE422D"/>
    <w:rsid w:val="00AF2F98"/>
    <w:rsid w:val="00AF4E9F"/>
    <w:rsid w:val="00AF63B7"/>
    <w:rsid w:val="00B00722"/>
    <w:rsid w:val="00B07DF4"/>
    <w:rsid w:val="00B11AF5"/>
    <w:rsid w:val="00B14CB6"/>
    <w:rsid w:val="00B16619"/>
    <w:rsid w:val="00B203F6"/>
    <w:rsid w:val="00B217D3"/>
    <w:rsid w:val="00B26E39"/>
    <w:rsid w:val="00B27D6B"/>
    <w:rsid w:val="00B314B2"/>
    <w:rsid w:val="00B31C74"/>
    <w:rsid w:val="00B37C0F"/>
    <w:rsid w:val="00B46A56"/>
    <w:rsid w:val="00B603A9"/>
    <w:rsid w:val="00B63399"/>
    <w:rsid w:val="00B675BD"/>
    <w:rsid w:val="00B71BF1"/>
    <w:rsid w:val="00B73206"/>
    <w:rsid w:val="00B74ABB"/>
    <w:rsid w:val="00B80F59"/>
    <w:rsid w:val="00B865D4"/>
    <w:rsid w:val="00B87081"/>
    <w:rsid w:val="00B900ED"/>
    <w:rsid w:val="00BA6B75"/>
    <w:rsid w:val="00BD0BB3"/>
    <w:rsid w:val="00BD67FE"/>
    <w:rsid w:val="00BD7327"/>
    <w:rsid w:val="00BE42CC"/>
    <w:rsid w:val="00BE65DA"/>
    <w:rsid w:val="00C0282E"/>
    <w:rsid w:val="00C06A9F"/>
    <w:rsid w:val="00C13819"/>
    <w:rsid w:val="00C15B00"/>
    <w:rsid w:val="00C2414E"/>
    <w:rsid w:val="00C25B59"/>
    <w:rsid w:val="00C4031D"/>
    <w:rsid w:val="00C40E16"/>
    <w:rsid w:val="00C649F8"/>
    <w:rsid w:val="00C73197"/>
    <w:rsid w:val="00C824E0"/>
    <w:rsid w:val="00C8467C"/>
    <w:rsid w:val="00C976E8"/>
    <w:rsid w:val="00C97FDD"/>
    <w:rsid w:val="00CA17F9"/>
    <w:rsid w:val="00CA27DF"/>
    <w:rsid w:val="00CA2F5C"/>
    <w:rsid w:val="00CB4915"/>
    <w:rsid w:val="00CC7ED2"/>
    <w:rsid w:val="00CC7EFB"/>
    <w:rsid w:val="00CD7D09"/>
    <w:rsid w:val="00CE485B"/>
    <w:rsid w:val="00CF0265"/>
    <w:rsid w:val="00CF42BF"/>
    <w:rsid w:val="00D0132B"/>
    <w:rsid w:val="00D03046"/>
    <w:rsid w:val="00D057D0"/>
    <w:rsid w:val="00D16C46"/>
    <w:rsid w:val="00D16F11"/>
    <w:rsid w:val="00D43B2A"/>
    <w:rsid w:val="00D45D46"/>
    <w:rsid w:val="00D51345"/>
    <w:rsid w:val="00D51EB7"/>
    <w:rsid w:val="00D61FF9"/>
    <w:rsid w:val="00D625FC"/>
    <w:rsid w:val="00D63073"/>
    <w:rsid w:val="00D64820"/>
    <w:rsid w:val="00D66EEE"/>
    <w:rsid w:val="00D6750F"/>
    <w:rsid w:val="00D749E7"/>
    <w:rsid w:val="00D75BF4"/>
    <w:rsid w:val="00D83A82"/>
    <w:rsid w:val="00D92C96"/>
    <w:rsid w:val="00D940CB"/>
    <w:rsid w:val="00DA4238"/>
    <w:rsid w:val="00DA75CC"/>
    <w:rsid w:val="00DB1B79"/>
    <w:rsid w:val="00DD26CF"/>
    <w:rsid w:val="00DD6627"/>
    <w:rsid w:val="00DE2350"/>
    <w:rsid w:val="00DE45DA"/>
    <w:rsid w:val="00E20984"/>
    <w:rsid w:val="00E27AF3"/>
    <w:rsid w:val="00E50216"/>
    <w:rsid w:val="00E53B4F"/>
    <w:rsid w:val="00E57524"/>
    <w:rsid w:val="00E71E3D"/>
    <w:rsid w:val="00E75F2A"/>
    <w:rsid w:val="00E82855"/>
    <w:rsid w:val="00E861E3"/>
    <w:rsid w:val="00E86E3C"/>
    <w:rsid w:val="00E87FAF"/>
    <w:rsid w:val="00E95FA1"/>
    <w:rsid w:val="00EA541F"/>
    <w:rsid w:val="00EB165B"/>
    <w:rsid w:val="00ED013D"/>
    <w:rsid w:val="00ED5942"/>
    <w:rsid w:val="00ED64A1"/>
    <w:rsid w:val="00EE1F8F"/>
    <w:rsid w:val="00EF4389"/>
    <w:rsid w:val="00EF5357"/>
    <w:rsid w:val="00F004B3"/>
    <w:rsid w:val="00F032CE"/>
    <w:rsid w:val="00F0700A"/>
    <w:rsid w:val="00F15395"/>
    <w:rsid w:val="00F45376"/>
    <w:rsid w:val="00F46978"/>
    <w:rsid w:val="00F61551"/>
    <w:rsid w:val="00F70A66"/>
    <w:rsid w:val="00FA3DFC"/>
    <w:rsid w:val="00FB492A"/>
    <w:rsid w:val="00FC7042"/>
    <w:rsid w:val="00FD041E"/>
    <w:rsid w:val="00FD7138"/>
    <w:rsid w:val="00FD7997"/>
    <w:rsid w:val="00FF227E"/>
    <w:rsid w:val="00FF51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silver,#eaeaea"/>
    </o:shapedefaults>
    <o:shapelayout v:ext="edit">
      <o:idmap v:ext="edit" data="1"/>
    </o:shapelayout>
  </w:shapeDefaults>
  <w:decimalSymbol w:val="."/>
  <w:listSeparator w:val=","/>
  <w14:docId w14:val="7F327B9E"/>
  <w15:docId w15:val="{23561957-2434-45F2-94C8-270CBCF5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qFormat/>
    <w:rsid w:val="00DE45DA"/>
    <w:pPr>
      <w:keepNext/>
      <w:spacing w:after="200" w:line="260" w:lineRule="exact"/>
      <w:outlineLvl w:val="4"/>
    </w:pPr>
    <w:rPr>
      <w:b/>
      <w:bCs/>
      <w:iCs/>
      <w:sz w:val="26"/>
      <w:szCs w:val="26"/>
    </w:rPr>
  </w:style>
  <w:style w:type="paragraph" w:styleId="Heading6">
    <w:name w:val="heading 6"/>
    <w:basedOn w:val="Heading5"/>
    <w:next w:val="ParaLevel1"/>
    <w:qFormat/>
    <w:rsid w:val="00DE45DA"/>
    <w:pPr>
      <w:spacing w:line="220" w:lineRule="exact"/>
      <w:outlineLvl w:val="5"/>
    </w:pPr>
    <w:rPr>
      <w:bCs w:val="0"/>
      <w:sz w:val="22"/>
      <w:szCs w:val="22"/>
    </w:rPr>
  </w:style>
  <w:style w:type="paragraph" w:styleId="Heading7">
    <w:name w:val="heading 7"/>
    <w:basedOn w:val="Heading6"/>
    <w:next w:val="ParaLevel1"/>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49402A"/>
    <w:pPr>
      <w:numPr>
        <w:ilvl w:val="8"/>
        <w:numId w:val="42"/>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35"/>
      </w:numPr>
      <w:ind w:left="1418"/>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rsid w:val="00AE0A2A"/>
    <w:pPr>
      <w:numPr>
        <w:ilvl w:val="1"/>
        <w:numId w:val="35"/>
      </w:numPr>
      <w:ind w:left="2127"/>
      <w:outlineLvl w:val="1"/>
    </w:pPr>
  </w:style>
  <w:style w:type="paragraph" w:customStyle="1" w:styleId="ListBullet3">
    <w:name w:val="ListBullet3"/>
    <w:basedOn w:val="ParaPlain"/>
    <w:uiPriority w:val="2"/>
    <w:rsid w:val="00AE0A2A"/>
    <w:pPr>
      <w:numPr>
        <w:ilvl w:val="2"/>
        <w:numId w:val="35"/>
      </w:numPr>
      <w:ind w:left="2835"/>
      <w:outlineLvl w:val="2"/>
    </w:pPr>
  </w:style>
  <w:style w:type="paragraph" w:customStyle="1" w:styleId="ListBullet4">
    <w:name w:val="ListBullet4"/>
    <w:basedOn w:val="ParaPlain"/>
    <w:uiPriority w:val="2"/>
    <w:rsid w:val="00AE0A2A"/>
    <w:pPr>
      <w:numPr>
        <w:ilvl w:val="3"/>
        <w:numId w:val="35"/>
      </w:numPr>
      <w:tabs>
        <w:tab w:val="clear" w:pos="2127"/>
        <w:tab w:val="num" w:pos="360"/>
      </w:tabs>
      <w:ind w:left="3544" w:firstLine="0"/>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46"/>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FootnoteTextChar">
    <w:name w:val="Footnote Text Char"/>
    <w:basedOn w:val="DefaultParagraphFont"/>
    <w:link w:val="FootnoteText"/>
    <w:rsid w:val="00441E07"/>
    <w:rPr>
      <w:sz w:val="16"/>
      <w:lang w:eastAsia="en-US"/>
    </w:rPr>
  </w:style>
  <w:style w:type="character" w:customStyle="1" w:styleId="Heading9Char">
    <w:name w:val="Heading 9 Char"/>
    <w:basedOn w:val="DefaultParagraphFont"/>
    <w:link w:val="Heading9"/>
    <w:uiPriority w:val="9"/>
    <w:semiHidden/>
    <w:rsid w:val="0049402A"/>
    <w:rPr>
      <w:rFonts w:cs="Arial"/>
      <w:sz w:val="22"/>
      <w:szCs w:val="22"/>
    </w:rPr>
  </w:style>
  <w:style w:type="character" w:customStyle="1" w:styleId="Heading5Char">
    <w:name w:val="Heading 5 Char"/>
    <w:basedOn w:val="DefaultParagraphFont"/>
    <w:link w:val="Heading5"/>
    <w:rsid w:val="0049402A"/>
    <w:rPr>
      <w:b/>
      <w:bCs/>
      <w:iCs/>
      <w:sz w:val="26"/>
      <w:szCs w:val="26"/>
      <w:lang w:eastAsia="en-US"/>
    </w:rPr>
  </w:style>
  <w:style w:type="paragraph" w:styleId="BalloonText">
    <w:name w:val="Balloon Text"/>
    <w:basedOn w:val="Normal"/>
    <w:link w:val="BalloonTextChar"/>
    <w:semiHidden/>
    <w:unhideWhenUsed/>
    <w:rsid w:val="00CE485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E48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B73F-8940-413F-95B5-406BC785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FBED5-5977-4CBF-911A-81C0CA43C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0D97A-6503-41B0-A263-EF5867D68CAC}">
  <ds:schemaRefs>
    <ds:schemaRef ds:uri="http://schemas.microsoft.com/sharepoint/v3/contenttype/forms"/>
  </ds:schemaRefs>
</ds:datastoreItem>
</file>

<file path=customXml/itemProps4.xml><?xml version="1.0" encoding="utf-8"?>
<ds:datastoreItem xmlns:ds="http://schemas.openxmlformats.org/officeDocument/2006/customXml" ds:itemID="{120EA3C1-5BA9-47CB-AE68-454AF5CB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2</TotalTime>
  <Pages>8</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Susan Fraser</dc:creator>
  <cp:lastModifiedBy>See Wen Ewe</cp:lastModifiedBy>
  <cp:revision>2</cp:revision>
  <cp:lastPrinted>2015-11-12T02:26:00Z</cp:lastPrinted>
  <dcterms:created xsi:type="dcterms:W3CDTF">2021-05-16T23:46:00Z</dcterms:created>
  <dcterms:modified xsi:type="dcterms:W3CDTF">2021-05-16T23:46:00Z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